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66FE5454"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440E2F">
        <w:rPr>
          <w:rFonts w:eastAsia="SimSun"/>
          <w:b/>
          <w:kern w:val="2"/>
          <w:sz w:val="22"/>
          <w:szCs w:val="22"/>
          <w:lang w:val="en-US" w:eastAsia="zh-CN"/>
        </w:rPr>
        <w:t>4</w:t>
      </w:r>
      <w:r w:rsidR="000B10A2">
        <w:rPr>
          <w:rFonts w:eastAsia="SimSun"/>
          <w:b/>
          <w:kern w:val="2"/>
          <w:sz w:val="22"/>
          <w:szCs w:val="22"/>
          <w:lang w:val="en-US" w:eastAsia="zh-CN"/>
        </w:rPr>
        <w:t>bis</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2137A0">
        <w:rPr>
          <w:rFonts w:eastAsia="SimSun"/>
          <w:b/>
          <w:kern w:val="2"/>
          <w:sz w:val="22"/>
          <w:szCs w:val="22"/>
          <w:lang w:val="en-US" w:eastAsia="zh-CN"/>
        </w:rPr>
        <w:t>30</w:t>
      </w:r>
      <w:r w:rsidR="004D40F9">
        <w:rPr>
          <w:rFonts w:eastAsia="SimSun"/>
          <w:b/>
          <w:kern w:val="2"/>
          <w:sz w:val="22"/>
          <w:szCs w:val="22"/>
          <w:lang w:val="en-US" w:eastAsia="zh-CN"/>
        </w:rPr>
        <w:t>9987</w:t>
      </w:r>
    </w:p>
    <w:p w14:paraId="03096DEE" w14:textId="644427AA" w:rsidR="00B9228A" w:rsidRPr="00A64DE9" w:rsidRDefault="000B10A2" w:rsidP="00A64DE9">
      <w:pPr>
        <w:tabs>
          <w:tab w:val="right" w:pos="9216"/>
        </w:tabs>
        <w:autoSpaceDE w:val="0"/>
        <w:autoSpaceDN w:val="0"/>
        <w:adjustRightInd w:val="0"/>
        <w:snapToGrid w:val="0"/>
        <w:rPr>
          <w:rFonts w:eastAsia="SimSun"/>
          <w:b/>
          <w:kern w:val="2"/>
          <w:sz w:val="22"/>
          <w:szCs w:val="22"/>
          <w:lang w:val="en-US" w:eastAsia="zh-CN"/>
        </w:rPr>
      </w:pPr>
      <w:bookmarkStart w:id="0" w:name="_Hlk146785737"/>
      <w:r w:rsidRPr="000B10A2">
        <w:rPr>
          <w:b/>
          <w:bCs/>
          <w:sz w:val="22"/>
          <w:szCs w:val="22"/>
          <w:lang w:val="en-US" w:eastAsia="zh-CN"/>
        </w:rPr>
        <w:t>Xiamen, China, October 9th – October 13</w:t>
      </w:r>
      <w:r w:rsidRPr="000B10A2">
        <w:rPr>
          <w:b/>
          <w:bCs/>
          <w:sz w:val="22"/>
          <w:szCs w:val="22"/>
          <w:vertAlign w:val="superscript"/>
          <w:lang w:val="en-US" w:eastAsia="zh-CN"/>
        </w:rPr>
        <w:t>th</w:t>
      </w:r>
      <w:r w:rsidR="00440E2F" w:rsidRPr="00440E2F">
        <w:rPr>
          <w:b/>
          <w:bCs/>
          <w:sz w:val="22"/>
          <w:szCs w:val="22"/>
          <w:lang w:val="en-US" w:eastAsia="zh-CN"/>
        </w:rPr>
        <w:t>,</w:t>
      </w:r>
      <w:bookmarkEnd w:id="0"/>
      <w:r w:rsidR="00440E2F" w:rsidRPr="00440E2F">
        <w:rPr>
          <w:b/>
          <w:bCs/>
          <w:sz w:val="22"/>
          <w:szCs w:val="22"/>
          <w:lang w:val="en-US" w:eastAsia="zh-CN"/>
        </w:rPr>
        <w:t xml:space="preserve"> </w:t>
      </w:r>
      <w:r w:rsidR="00B9228A" w:rsidRPr="00B9228A">
        <w:rPr>
          <w:rFonts w:eastAsia="SimSun"/>
          <w:b/>
          <w:kern w:val="2"/>
          <w:sz w:val="22"/>
          <w:szCs w:val="22"/>
          <w:lang w:val="en-US" w:eastAsia="zh-CN"/>
        </w:rPr>
        <w:t>202</w:t>
      </w:r>
      <w:r w:rsidR="00671EE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0435E39D"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0B10A2">
        <w:rPr>
          <w:rFonts w:eastAsia="SimSun"/>
          <w:b/>
          <w:kern w:val="2"/>
          <w:sz w:val="22"/>
          <w:szCs w:val="22"/>
          <w:lang w:val="en-US" w:eastAsia="zh-CN"/>
        </w:rPr>
        <w:t>8</w:t>
      </w:r>
      <w:r w:rsidR="00EA3A6E">
        <w:rPr>
          <w:rFonts w:eastAsia="SimSun"/>
          <w:b/>
          <w:kern w:val="2"/>
          <w:sz w:val="22"/>
          <w:szCs w:val="22"/>
          <w:lang w:val="en-US" w:eastAsia="zh-CN"/>
        </w:rPr>
        <w:t>.</w:t>
      </w:r>
      <w:r w:rsidR="000B10A2">
        <w:rPr>
          <w:rFonts w:eastAsia="SimSun"/>
          <w:b/>
          <w:kern w:val="2"/>
          <w:sz w:val="22"/>
          <w:szCs w:val="22"/>
          <w:lang w:val="en-US" w:eastAsia="zh-CN"/>
        </w:rPr>
        <w:t>13</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DE9DDA" w14:textId="3037D26B" w:rsidR="00524E62" w:rsidRDefault="005F2BBB" w:rsidP="00521CB4">
      <w:pPr>
        <w:spacing w:after="120"/>
        <w:jc w:val="both"/>
        <w:rPr>
          <w:rFonts w:eastAsia="Malgun Gothic"/>
          <w:sz w:val="22"/>
          <w:szCs w:val="22"/>
          <w:lang w:val="en-US" w:eastAsia="en-US"/>
        </w:rPr>
      </w:pPr>
      <w:r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w:t>
      </w:r>
      <w:r w:rsidR="000A4B4D" w:rsidRPr="000A4B4D">
        <w:rPr>
          <w:rFonts w:eastAsia="Malgun Gothic"/>
          <w:sz w:val="22"/>
          <w:szCs w:val="22"/>
          <w:lang w:val="en-US" w:eastAsia="en-US"/>
        </w:rPr>
        <w:t>The outcome of the RAN-level study phase was a new TR 38.882</w:t>
      </w:r>
      <w:r w:rsidR="00524E62">
        <w:rPr>
          <w:rFonts w:eastAsia="Malgun Gothic"/>
          <w:sz w:val="22"/>
          <w:szCs w:val="22"/>
          <w:lang w:val="en-US" w:eastAsia="en-US"/>
        </w:rPr>
        <w:t>.</w:t>
      </w:r>
      <w:r w:rsidR="000B10A2">
        <w:rPr>
          <w:rFonts w:eastAsia="Malgun Gothic"/>
          <w:sz w:val="22"/>
          <w:szCs w:val="22"/>
          <w:lang w:val="en-US" w:eastAsia="en-US"/>
        </w:rPr>
        <w:t xml:space="preserve"> RAN1 </w:t>
      </w:r>
    </w:p>
    <w:p w14:paraId="3229598E" w14:textId="77777777" w:rsidR="009B6CE5" w:rsidRPr="009B6CE5" w:rsidRDefault="009B6CE5" w:rsidP="009B6CE5">
      <w:pPr>
        <w:spacing w:after="120"/>
        <w:jc w:val="both"/>
        <w:rPr>
          <w:color w:val="000000" w:themeColor="text1"/>
          <w:sz w:val="22"/>
          <w:szCs w:val="18"/>
          <w:lang w:eastAsia="fr-FR"/>
        </w:rPr>
      </w:pPr>
      <w:r w:rsidRPr="009B6CE5">
        <w:rPr>
          <w:color w:val="000000" w:themeColor="text1"/>
          <w:sz w:val="22"/>
          <w:szCs w:val="18"/>
          <w:lang w:eastAsia="fr-FR"/>
        </w:rPr>
        <w:t>RAN#100 Decision: NW-verified UE Location: Milestone at RAN#101 to complete the work (or remove if not completed)</w:t>
      </w:r>
    </w:p>
    <w:p w14:paraId="775D6EB4" w14:textId="77777777" w:rsidR="009B6CE5" w:rsidRPr="00F6110D" w:rsidRDefault="009B6CE5" w:rsidP="00F6110D">
      <w:pPr>
        <w:spacing w:after="120"/>
        <w:ind w:left="360"/>
        <w:jc w:val="both"/>
        <w:rPr>
          <w:i/>
          <w:iCs/>
          <w:color w:val="000000" w:themeColor="text1"/>
          <w:sz w:val="22"/>
          <w:szCs w:val="18"/>
          <w:lang w:eastAsia="fr-FR"/>
        </w:rPr>
      </w:pPr>
      <w:bookmarkStart w:id="1" w:name="_Hlk142598165"/>
      <w:r w:rsidRPr="00F6110D">
        <w:rPr>
          <w:i/>
          <w:iCs/>
          <w:color w:val="000000" w:themeColor="text1"/>
          <w:sz w:val="22"/>
          <w:szCs w:val="18"/>
          <w:lang w:eastAsia="fr-FR"/>
        </w:rPr>
        <w:t xml:space="preserve">RAN1 to focus on Alt1 for the </w:t>
      </w:r>
      <w:bookmarkStart w:id="2" w:name="_Hlk146727475"/>
      <w:r w:rsidRPr="00F6110D">
        <w:rPr>
          <w:i/>
          <w:iCs/>
          <w:color w:val="000000" w:themeColor="text1"/>
          <w:sz w:val="22"/>
          <w:szCs w:val="18"/>
          <w:lang w:eastAsia="fr-FR"/>
        </w:rPr>
        <w:t>combination of “UE and gNB receive-transmit time difference measurements</w:t>
      </w:r>
      <w:bookmarkEnd w:id="2"/>
      <w:r w:rsidRPr="00F6110D">
        <w:rPr>
          <w:i/>
          <w:iCs/>
          <w:color w:val="000000" w:themeColor="text1"/>
          <w:sz w:val="22"/>
          <w:szCs w:val="18"/>
          <w:lang w:eastAsia="fr-FR"/>
        </w:rPr>
        <w:t>” i.e.</w:t>
      </w:r>
    </w:p>
    <w:p w14:paraId="21FABB2B" w14:textId="0778780E" w:rsidR="009B6CE5" w:rsidRPr="00F6110D" w:rsidRDefault="009B6CE5" w:rsidP="00F6110D">
      <w:pPr>
        <w:pStyle w:val="ListParagraph"/>
        <w:numPr>
          <w:ilvl w:val="0"/>
          <w:numId w:val="25"/>
        </w:numPr>
        <w:spacing w:after="120"/>
        <w:ind w:leftChars="0" w:left="1080"/>
        <w:rPr>
          <w:i/>
          <w:iCs/>
          <w:color w:val="000000" w:themeColor="text1"/>
          <w:sz w:val="22"/>
          <w:szCs w:val="18"/>
          <w:lang w:eastAsia="fr-FR"/>
        </w:rPr>
      </w:pPr>
      <w:r w:rsidRPr="00F6110D">
        <w:rPr>
          <w:i/>
          <w:iCs/>
          <w:color w:val="000000" w:themeColor="text1"/>
          <w:sz w:val="22"/>
          <w:szCs w:val="18"/>
          <w:lang w:eastAsia="fr-FR"/>
        </w:rPr>
        <w:t>Alt-1: UE Rx-Tx time difference based on Option 3 and gNB Rx-Tx time difference as defined in TS</w:t>
      </w:r>
      <w:r w:rsidR="00524E62" w:rsidRPr="00F6110D">
        <w:rPr>
          <w:i/>
          <w:iCs/>
          <w:color w:val="000000" w:themeColor="text1"/>
          <w:sz w:val="22"/>
          <w:szCs w:val="18"/>
          <w:lang w:eastAsia="fr-FR"/>
        </w:rPr>
        <w:t xml:space="preserve"> </w:t>
      </w:r>
      <w:r w:rsidRPr="00F6110D">
        <w:rPr>
          <w:i/>
          <w:iCs/>
          <w:color w:val="000000" w:themeColor="text1"/>
          <w:sz w:val="22"/>
          <w:szCs w:val="18"/>
          <w:lang w:eastAsia="fr-FR"/>
        </w:rPr>
        <w:t xml:space="preserve">38.215. </w:t>
      </w:r>
      <w:r w:rsidRPr="00F6110D">
        <w:rPr>
          <w:i/>
          <w:iCs/>
          <w:color w:val="000000" w:themeColor="text1"/>
          <w:sz w:val="22"/>
          <w:szCs w:val="18"/>
          <w:lang w:eastAsia="fr-FR"/>
        </w:rPr>
        <w:br/>
        <w:t xml:space="preserve">Note 1: The </w:t>
      </w:r>
      <w:r w:rsidR="005D5AC6" w:rsidRPr="00F6110D">
        <w:rPr>
          <w:i/>
          <w:iCs/>
          <w:color w:val="000000" w:themeColor="text1"/>
          <w:sz w:val="22"/>
          <w:szCs w:val="18"/>
          <w:lang w:eastAsia="fr-FR"/>
        </w:rPr>
        <w:t>signalling</w:t>
      </w:r>
      <w:r w:rsidRPr="00F6110D">
        <w:rPr>
          <w:i/>
          <w:iCs/>
          <w:color w:val="000000" w:themeColor="text1"/>
          <w:sz w:val="22"/>
          <w:szCs w:val="18"/>
          <w:lang w:eastAsia="fr-FR"/>
        </w:rPr>
        <w:t xml:space="preserve"> method of UE Rx-Tx time difference definition option 1 is not precluded if Alt1 is adopted</w:t>
      </w:r>
    </w:p>
    <w:bookmarkEnd w:id="1"/>
    <w:p w14:paraId="46F2A791" w14:textId="2E1215AE" w:rsidR="00524E62" w:rsidRDefault="00524E62" w:rsidP="009B6CE5">
      <w:pPr>
        <w:spacing w:after="120"/>
        <w:jc w:val="both"/>
        <w:rPr>
          <w:color w:val="000000" w:themeColor="text1"/>
          <w:sz w:val="22"/>
          <w:szCs w:val="18"/>
          <w:lang w:eastAsia="fr-FR"/>
        </w:rPr>
      </w:pPr>
    </w:p>
    <w:p w14:paraId="06D671BB" w14:textId="57AB5250" w:rsidR="00F6110D" w:rsidRDefault="00F6110D" w:rsidP="009B6CE5">
      <w:pPr>
        <w:spacing w:after="120"/>
        <w:jc w:val="both"/>
        <w:rPr>
          <w:color w:val="000000" w:themeColor="text1"/>
          <w:sz w:val="22"/>
          <w:szCs w:val="18"/>
          <w:lang w:eastAsia="fr-FR"/>
        </w:rPr>
      </w:pPr>
      <w:r>
        <w:rPr>
          <w:color w:val="000000" w:themeColor="text1"/>
          <w:sz w:val="22"/>
          <w:szCs w:val="18"/>
          <w:lang w:eastAsia="fr-FR"/>
        </w:rPr>
        <w:t>RAN1#101 made the following agreements</w:t>
      </w:r>
    </w:p>
    <w:p w14:paraId="16558394" w14:textId="5315268F" w:rsidR="00F6110D" w:rsidRDefault="00F6110D" w:rsidP="00F6110D">
      <w:pPr>
        <w:spacing w:after="120"/>
        <w:ind w:left="720"/>
        <w:jc w:val="both"/>
        <w:rPr>
          <w:color w:val="000000" w:themeColor="text1"/>
          <w:sz w:val="22"/>
          <w:szCs w:val="18"/>
          <w:lang w:eastAsia="fr-FR"/>
        </w:rPr>
      </w:pPr>
      <w:r w:rsidRPr="00F6110D">
        <w:rPr>
          <w:color w:val="000000" w:themeColor="text1"/>
          <w:sz w:val="22"/>
          <w:szCs w:val="18"/>
          <w:lang w:eastAsia="fr-FR"/>
        </w:rPr>
        <w:t>RAN#101 endorses that E-CID method could be further analyzed and enhanced in RAN3, if needed for NTN scenarios (NR-NTN and IoT-NTN).</w:t>
      </w:r>
    </w:p>
    <w:p w14:paraId="76C2FD83" w14:textId="77777777" w:rsidR="00F6110D" w:rsidRPr="00F6110D" w:rsidRDefault="00F6110D" w:rsidP="00F6110D">
      <w:pPr>
        <w:spacing w:after="120"/>
        <w:ind w:left="720"/>
        <w:jc w:val="both"/>
        <w:rPr>
          <w:color w:val="000000" w:themeColor="text1"/>
          <w:sz w:val="22"/>
          <w:szCs w:val="18"/>
          <w:lang w:eastAsia="fr-FR"/>
        </w:rPr>
      </w:pPr>
      <w:r w:rsidRPr="00F6110D">
        <w:rPr>
          <w:b/>
          <w:bCs/>
          <w:color w:val="000000" w:themeColor="text1"/>
          <w:sz w:val="22"/>
          <w:szCs w:val="18"/>
          <w:lang w:val="en-US" w:eastAsia="fr-FR"/>
        </w:rPr>
        <w:t>The WID in clause 4.1.3 “Network verified UE location” shall be revised as follow</w:t>
      </w:r>
    </w:p>
    <w:p w14:paraId="31846F12" w14:textId="77777777" w:rsidR="00F6110D" w:rsidRPr="00F6110D" w:rsidRDefault="00F6110D" w:rsidP="00F6110D">
      <w:pPr>
        <w:spacing w:after="120"/>
        <w:ind w:left="720"/>
        <w:jc w:val="both"/>
        <w:rPr>
          <w:color w:val="000000" w:themeColor="text1"/>
          <w:sz w:val="22"/>
          <w:szCs w:val="18"/>
          <w:lang w:eastAsia="fr-FR"/>
        </w:rPr>
      </w:pPr>
      <w:r w:rsidRPr="00F6110D">
        <w:rPr>
          <w:color w:val="000000" w:themeColor="text1"/>
          <w:sz w:val="22"/>
          <w:szCs w:val="18"/>
          <w:lang w:val="en-US" w:eastAsia="fr-FR"/>
        </w:rPr>
        <w:t>“</w:t>
      </w:r>
      <w:r w:rsidRPr="00F6110D">
        <w:rPr>
          <w:i/>
          <w:iCs/>
          <w:color w:val="000000" w:themeColor="text1"/>
          <w:sz w:val="22"/>
          <w:szCs w:val="18"/>
          <w:lang w:val="en-US" w:eastAsia="fr-FR"/>
        </w:rPr>
        <w:t xml:space="preserve">Based on RAN1 conclusions of the study phase, RAN to prioritize the specification of necessary enhancements to multi-RTT to support the network verified UE location in NTN assuming a single satellite in view [RAN1, 2, 3, 4]. </w:t>
      </w:r>
      <w:r w:rsidRPr="00F6110D">
        <w:rPr>
          <w:i/>
          <w:iCs/>
          <w:strike/>
          <w:color w:val="FF0000"/>
          <w:sz w:val="22"/>
          <w:szCs w:val="18"/>
          <w:lang w:val="en-US" w:eastAsia="fr-FR"/>
        </w:rPr>
        <w:t>DL-TDoA methods for verification may be considered as lower priority and if time permits and condition in Note is satisfied.</w:t>
      </w:r>
    </w:p>
    <w:p w14:paraId="40A5CF58" w14:textId="77777777" w:rsidR="00F6110D" w:rsidRPr="00F6110D" w:rsidRDefault="00F6110D" w:rsidP="00F6110D">
      <w:pPr>
        <w:spacing w:after="120"/>
        <w:ind w:left="720"/>
        <w:jc w:val="both"/>
        <w:rPr>
          <w:color w:val="000000" w:themeColor="text1"/>
          <w:sz w:val="22"/>
          <w:szCs w:val="18"/>
          <w:lang w:eastAsia="fr-FR"/>
        </w:rPr>
      </w:pPr>
      <w:r w:rsidRPr="00F6110D">
        <w:rPr>
          <w:i/>
          <w:iCs/>
          <w:color w:val="000000" w:themeColor="text1"/>
          <w:sz w:val="22"/>
          <w:szCs w:val="18"/>
          <w:lang w:val="en-US" w:eastAsia="fr-FR"/>
        </w:rPr>
        <w:t>Note 1: Enhancements assume reuse of the RAT dependent positioning framework</w:t>
      </w:r>
    </w:p>
    <w:p w14:paraId="34103996" w14:textId="77777777" w:rsidR="00F6110D" w:rsidRPr="00F6110D" w:rsidRDefault="00F6110D" w:rsidP="00F6110D">
      <w:pPr>
        <w:spacing w:after="120"/>
        <w:ind w:left="720"/>
        <w:jc w:val="both"/>
        <w:rPr>
          <w:color w:val="000000" w:themeColor="text1"/>
          <w:sz w:val="22"/>
          <w:szCs w:val="18"/>
          <w:lang w:eastAsia="fr-FR"/>
        </w:rPr>
      </w:pPr>
      <w:r w:rsidRPr="00F6110D">
        <w:rPr>
          <w:i/>
          <w:iCs/>
          <w:color w:val="000000" w:themeColor="text1"/>
          <w:sz w:val="22"/>
          <w:szCs w:val="18"/>
          <w:lang w:val="en-US" w:eastAsia="fr-FR"/>
        </w:rPr>
        <w:t xml:space="preserve">Note 2: </w:t>
      </w:r>
      <w:r w:rsidRPr="00F6110D">
        <w:rPr>
          <w:i/>
          <w:iCs/>
          <w:strike/>
          <w:color w:val="FF0000"/>
          <w:sz w:val="22"/>
          <w:szCs w:val="18"/>
          <w:lang w:val="en-US" w:eastAsia="fr-FR"/>
        </w:rPr>
        <w:t>Void The specification of DL-TDOA enhancements will be subject to the study of the impact of realistic UE clock drift onto DL-TDOA performance</w:t>
      </w:r>
      <w:r w:rsidRPr="00F6110D">
        <w:rPr>
          <w:strike/>
          <w:color w:val="FF0000"/>
          <w:sz w:val="22"/>
          <w:szCs w:val="18"/>
          <w:lang w:val="en-US" w:eastAsia="fr-FR"/>
        </w:rPr>
        <w:t>”</w:t>
      </w:r>
    </w:p>
    <w:p w14:paraId="0C8CADFE" w14:textId="77777777" w:rsidR="00F6110D" w:rsidRDefault="00F6110D" w:rsidP="009B6CE5">
      <w:pPr>
        <w:spacing w:after="120"/>
        <w:jc w:val="both"/>
        <w:rPr>
          <w:color w:val="000000" w:themeColor="text1"/>
          <w:sz w:val="22"/>
          <w:szCs w:val="18"/>
          <w:lang w:eastAsia="fr-FR"/>
        </w:rPr>
      </w:pPr>
    </w:p>
    <w:p w14:paraId="1A7B0CBF" w14:textId="5271E50D" w:rsidR="000B10A2" w:rsidRPr="000B10A2" w:rsidRDefault="00A626CF" w:rsidP="000B10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0B10A2" w:rsidRPr="000B10A2">
        <w:rPr>
          <w:rFonts w:ascii="Times New Roman" w:eastAsia="Batang" w:hAnsi="Times New Roman" w:cs="Times New Roman"/>
          <w:bCs w:val="0"/>
          <w:lang w:val="en-US" w:eastAsia="ko-KR"/>
        </w:rPr>
        <w:t>Combination of “UE and gNB receive-transmit time difference measurements</w:t>
      </w:r>
    </w:p>
    <w:p w14:paraId="71AB42AD" w14:textId="74901EC8" w:rsidR="000B10A2" w:rsidRDefault="000B10A2" w:rsidP="009B6CE5">
      <w:pPr>
        <w:spacing w:after="120"/>
        <w:jc w:val="both"/>
        <w:rPr>
          <w:color w:val="000000" w:themeColor="text1"/>
          <w:sz w:val="22"/>
          <w:szCs w:val="18"/>
          <w:lang w:eastAsia="fr-FR"/>
        </w:rPr>
      </w:pPr>
      <w:r>
        <w:rPr>
          <w:color w:val="000000" w:themeColor="text1"/>
          <w:sz w:val="22"/>
          <w:szCs w:val="18"/>
          <w:lang w:eastAsia="fr-FR"/>
        </w:rPr>
        <w:t xml:space="preserve">RAN1#114 made further agreement based on Alt 1 </w:t>
      </w:r>
    </w:p>
    <w:p w14:paraId="3D672490" w14:textId="77777777" w:rsidR="000B10A2" w:rsidRDefault="000B10A2" w:rsidP="000B10A2">
      <w:pPr>
        <w:rPr>
          <w:iCs/>
        </w:rPr>
      </w:pPr>
      <w:r w:rsidRPr="0007217D">
        <w:rPr>
          <w:iCs/>
          <w:highlight w:val="green"/>
        </w:rPr>
        <w:t>Agreement</w:t>
      </w:r>
    </w:p>
    <w:p w14:paraId="38F28AFE" w14:textId="77777777" w:rsidR="000B10A2" w:rsidRPr="00057DD6" w:rsidRDefault="000B10A2" w:rsidP="000B10A2">
      <w:r w:rsidRPr="00057DD6">
        <w:t xml:space="preserve">The </w:t>
      </w:r>
      <w:r w:rsidRPr="00057DD6">
        <w:rPr>
          <w:rFonts w:eastAsia="DengXian"/>
          <w:iCs/>
          <w:szCs w:val="22"/>
          <w:lang w:eastAsia="zh-CN"/>
        </w:rPr>
        <w:t xml:space="preserve">legacy R17 </w:t>
      </w:r>
      <w:r w:rsidRPr="00057DD6">
        <w:t xml:space="preserve">definition of UE Rx-Tx time difference is adopted for NTN </w:t>
      </w:r>
      <w:r w:rsidRPr="00057DD6">
        <w:rPr>
          <w:lang w:eastAsia="zh-CN"/>
        </w:rPr>
        <w:t xml:space="preserve">with an offset that is determined based on the following: </w:t>
      </w:r>
    </w:p>
    <w:p w14:paraId="4BCB1494" w14:textId="77777777" w:rsidR="000B10A2" w:rsidRPr="00057DD6" w:rsidRDefault="000B10A2" w:rsidP="000B10A2">
      <w:pPr>
        <w:numPr>
          <w:ilvl w:val="0"/>
          <w:numId w:val="27"/>
        </w:numPr>
        <w:snapToGrid w:val="0"/>
        <w:ind w:left="720"/>
      </w:pPr>
      <w:r w:rsidRPr="00057DD6">
        <w:rPr>
          <w:rFonts w:eastAsia="DengXian"/>
          <w:bCs/>
        </w:rPr>
        <w:t xml:space="preserve">UE reports the actual index difference between subframe j and subframe i </w:t>
      </w:r>
    </w:p>
    <w:p w14:paraId="48E15798" w14:textId="77777777" w:rsidR="000B10A2" w:rsidRPr="00057DD6" w:rsidRDefault="000B10A2" w:rsidP="000B10A2">
      <w:pPr>
        <w:numPr>
          <w:ilvl w:val="1"/>
          <w:numId w:val="27"/>
        </w:numPr>
        <w:snapToGrid w:val="0"/>
      </w:pPr>
      <w:r w:rsidRPr="00057DD6">
        <w:rPr>
          <w:rFonts w:eastAsia="DengXian"/>
          <w:bCs/>
        </w:rPr>
        <w:t xml:space="preserve">The uplink subframe j is closest in time to the DL subframe #i received from the TP </w:t>
      </w:r>
    </w:p>
    <w:p w14:paraId="07EA364B" w14:textId="77777777" w:rsidR="000B10A2" w:rsidRPr="0007217D" w:rsidRDefault="000B10A2" w:rsidP="000B10A2">
      <w:pPr>
        <w:numPr>
          <w:ilvl w:val="0"/>
          <w:numId w:val="27"/>
        </w:numPr>
        <w:snapToGrid w:val="0"/>
        <w:ind w:left="720"/>
        <w:rPr>
          <w:iCs/>
        </w:rPr>
      </w:pPr>
      <w:r>
        <w:rPr>
          <w:iCs/>
        </w:rPr>
        <w:lastRenderedPageBreak/>
        <w:t>T</w:t>
      </w:r>
      <w:r w:rsidRPr="00057DD6">
        <w:rPr>
          <w:iCs/>
        </w:rPr>
        <w:t xml:space="preserve">he DL timing drift </w:t>
      </w:r>
      <w:r>
        <w:rPr>
          <w:iCs/>
        </w:rPr>
        <w:t xml:space="preserve">due to Doppler over the service link </w:t>
      </w:r>
      <w:r w:rsidRPr="00057DD6">
        <w:rPr>
          <w:iCs/>
        </w:rPr>
        <w:t xml:space="preserve">associated with the UE RX-TX time difference </w:t>
      </w:r>
      <w:r>
        <w:rPr>
          <w:iCs/>
        </w:rPr>
        <w:t xml:space="preserve">measurement period </w:t>
      </w:r>
      <w:r w:rsidRPr="00057DD6">
        <w:rPr>
          <w:iCs/>
        </w:rPr>
        <w:t>is reported</w:t>
      </w:r>
    </w:p>
    <w:p w14:paraId="28B4DBF6" w14:textId="0A191B1F" w:rsidR="000B10A2" w:rsidRDefault="000B10A2" w:rsidP="009B6CE5">
      <w:pPr>
        <w:spacing w:after="120"/>
        <w:jc w:val="both"/>
        <w:rPr>
          <w:color w:val="000000" w:themeColor="text1"/>
          <w:sz w:val="22"/>
          <w:szCs w:val="18"/>
          <w:lang w:eastAsia="fr-FR"/>
        </w:rPr>
      </w:pPr>
    </w:p>
    <w:p w14:paraId="2B7059CE" w14:textId="7EE3E58E" w:rsidR="000B10A2" w:rsidRDefault="000B10A2" w:rsidP="000B10A2">
      <w:pPr>
        <w:spacing w:after="120"/>
        <w:jc w:val="both"/>
        <w:rPr>
          <w:color w:val="000000" w:themeColor="text1"/>
          <w:sz w:val="22"/>
          <w:szCs w:val="18"/>
          <w:lang w:eastAsia="fr-FR"/>
        </w:rPr>
      </w:pPr>
      <w:r>
        <w:rPr>
          <w:color w:val="000000" w:themeColor="text1"/>
          <w:sz w:val="22"/>
          <w:szCs w:val="18"/>
          <w:lang w:eastAsia="fr-FR"/>
        </w:rPr>
        <w:t>And endorsed 1 CR to TS 38.214 and one CR to TS 38.215 for new measurement reports accordingly</w:t>
      </w:r>
    </w:p>
    <w:p w14:paraId="1FDA7DB1" w14:textId="43C659D0" w:rsidR="000B10A2" w:rsidRPr="000B10A2" w:rsidRDefault="000B10A2" w:rsidP="000B10A2">
      <w:pPr>
        <w:spacing w:after="120"/>
        <w:jc w:val="both"/>
        <w:rPr>
          <w:color w:val="000000" w:themeColor="text1"/>
          <w:sz w:val="22"/>
          <w:szCs w:val="18"/>
          <w:lang w:eastAsia="fr-FR"/>
        </w:rPr>
      </w:pPr>
      <w:r w:rsidRPr="000B10A2">
        <w:rPr>
          <w:color w:val="000000" w:themeColor="text1"/>
          <w:sz w:val="22"/>
          <w:szCs w:val="18"/>
          <w:highlight w:val="yellow"/>
          <w:lang w:eastAsia="fr-FR"/>
        </w:rPr>
        <w:t>R1-2308742 Rel-18 CR#0446  TS 38.214 NR_NTN_enh-Core</w:t>
      </w:r>
    </w:p>
    <w:p w14:paraId="6B8CF5F5" w14:textId="77777777"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5.1.46</w:t>
      </w:r>
      <w:r w:rsidRPr="000B10A2">
        <w:rPr>
          <w:color w:val="000000" w:themeColor="text1"/>
          <w:sz w:val="22"/>
          <w:szCs w:val="18"/>
          <w:lang w:eastAsia="fr-FR"/>
        </w:rPr>
        <w:tab/>
        <w:t xml:space="preserve">UE Rx – Tx time difference offset </w:t>
      </w:r>
    </w:p>
    <w:p w14:paraId="1477765B" w14:textId="184CF978"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The UE may be configured to measure and report, via higher layer parameter [undetermined NTN related parameter] subject to UE capability, UE Rx-Tx time difference measurements on a PRS resource associated with a dl-PRS-ID. The UE shall report the [actual] index difference between the uplink subframe j and closest in time DL subframe i, and the DL timing drift due to Doppler over the radio link associated with the UE RX-TX time difference measurement period as described in [7, TS 38.215].</w:t>
      </w:r>
    </w:p>
    <w:p w14:paraId="6FFDB87F" w14:textId="77777777" w:rsidR="000B10A2" w:rsidRDefault="000B10A2" w:rsidP="000B10A2">
      <w:pPr>
        <w:spacing w:after="120"/>
        <w:jc w:val="both"/>
        <w:rPr>
          <w:color w:val="000000" w:themeColor="text1"/>
          <w:sz w:val="22"/>
          <w:szCs w:val="18"/>
          <w:lang w:eastAsia="fr-FR"/>
        </w:rPr>
      </w:pPr>
    </w:p>
    <w:p w14:paraId="3766C663" w14:textId="48B0B625" w:rsidR="000B10A2" w:rsidRDefault="000B10A2" w:rsidP="000B10A2">
      <w:pPr>
        <w:spacing w:after="120"/>
        <w:jc w:val="both"/>
        <w:rPr>
          <w:color w:val="000000" w:themeColor="text1"/>
          <w:sz w:val="22"/>
          <w:szCs w:val="18"/>
          <w:lang w:eastAsia="fr-FR"/>
        </w:rPr>
      </w:pPr>
      <w:r w:rsidRPr="000B10A2">
        <w:rPr>
          <w:color w:val="000000" w:themeColor="text1"/>
          <w:sz w:val="22"/>
          <w:szCs w:val="18"/>
          <w:highlight w:val="yellow"/>
          <w:lang w:eastAsia="fr-FR"/>
        </w:rPr>
        <w:t>R1-2308747-Rel-18 CR#0050  TS 38.215 NR_NTN_enh-Core</w:t>
      </w:r>
    </w:p>
    <w:p w14:paraId="3E487D49" w14:textId="0DF608F5"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5.1.46</w:t>
      </w:r>
      <w:r w:rsidRPr="000B10A2">
        <w:rPr>
          <w:color w:val="000000" w:themeColor="text1"/>
          <w:sz w:val="22"/>
          <w:szCs w:val="18"/>
          <w:lang w:eastAsia="fr-FR"/>
        </w:rPr>
        <w:tab/>
        <w:t>UE Rx – Tx time difference offset</w:t>
      </w:r>
    </w:p>
    <w:tbl>
      <w:tblPr>
        <w:tblStyle w:val="TableGrid"/>
        <w:tblW w:w="0" w:type="auto"/>
        <w:tblLook w:val="04A0" w:firstRow="1" w:lastRow="0" w:firstColumn="1" w:lastColumn="0" w:noHBand="0" w:noVBand="1"/>
      </w:tblPr>
      <w:tblGrid>
        <w:gridCol w:w="2122"/>
        <w:gridCol w:w="7228"/>
      </w:tblGrid>
      <w:tr w:rsidR="000B10A2" w14:paraId="0D859030" w14:textId="77777777" w:rsidTr="000B10A2">
        <w:tc>
          <w:tcPr>
            <w:tcW w:w="2122" w:type="dxa"/>
          </w:tcPr>
          <w:p w14:paraId="745A0576" w14:textId="0576C04C"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Definition</w:t>
            </w:r>
          </w:p>
        </w:tc>
        <w:tc>
          <w:tcPr>
            <w:tcW w:w="7228" w:type="dxa"/>
          </w:tcPr>
          <w:p w14:paraId="5FD8C7BD" w14:textId="77777777" w:rsidR="000B10A2" w:rsidRP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UE Rx – Tx time difference offset is the actual index difference between subframe #j and subframe #i of the subframes used for the UE Rx – Tx time difference measurement as defined in Clause 5.1.30, where uplink subframe #j is the closest in time to the DL subframe #i received from a transmission point (TP) [18].</w:t>
            </w:r>
          </w:p>
          <w:p w14:paraId="1A738BF5" w14:textId="77777777" w:rsidR="000B10A2" w:rsidRP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 </w:t>
            </w:r>
          </w:p>
          <w:p w14:paraId="3C90792D" w14:textId="5DCCF7DD"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0B10A2" w14:paraId="129305A7" w14:textId="77777777" w:rsidTr="000B10A2">
        <w:tc>
          <w:tcPr>
            <w:tcW w:w="2122" w:type="dxa"/>
          </w:tcPr>
          <w:p w14:paraId="57F936EF" w14:textId="70D008BD" w:rsidR="000B10A2" w:rsidRDefault="000B10A2" w:rsidP="000B10A2">
            <w:pPr>
              <w:spacing w:after="120"/>
              <w:jc w:val="both"/>
              <w:rPr>
                <w:color w:val="000000" w:themeColor="text1"/>
                <w:sz w:val="22"/>
                <w:szCs w:val="18"/>
                <w:lang w:eastAsia="fr-FR"/>
              </w:rPr>
            </w:pPr>
            <w:r>
              <w:rPr>
                <w:color w:val="000000" w:themeColor="text1"/>
                <w:sz w:val="22"/>
                <w:szCs w:val="18"/>
                <w:lang w:eastAsia="fr-FR"/>
              </w:rPr>
              <w:t>Applicable for</w:t>
            </w:r>
          </w:p>
        </w:tc>
        <w:tc>
          <w:tcPr>
            <w:tcW w:w="7228" w:type="dxa"/>
          </w:tcPr>
          <w:p w14:paraId="0EBD6331" w14:textId="7C7065C7" w:rsidR="000B10A2" w:rsidRDefault="000B10A2" w:rsidP="000B10A2">
            <w:pPr>
              <w:spacing w:after="120"/>
              <w:jc w:val="both"/>
              <w:rPr>
                <w:color w:val="000000" w:themeColor="text1"/>
                <w:sz w:val="22"/>
                <w:szCs w:val="18"/>
                <w:lang w:eastAsia="fr-FR"/>
              </w:rPr>
            </w:pPr>
            <w:r>
              <w:rPr>
                <w:color w:val="000000" w:themeColor="text1"/>
                <w:sz w:val="22"/>
                <w:szCs w:val="18"/>
                <w:lang w:eastAsia="fr-FR"/>
              </w:rPr>
              <w:t>RRC_CONNECTED</w:t>
            </w:r>
          </w:p>
        </w:tc>
      </w:tr>
    </w:tbl>
    <w:p w14:paraId="4768434E" w14:textId="77777777" w:rsidR="000B10A2" w:rsidRDefault="000B10A2" w:rsidP="000B10A2">
      <w:pPr>
        <w:spacing w:after="120"/>
        <w:jc w:val="both"/>
        <w:rPr>
          <w:color w:val="000000" w:themeColor="text1"/>
          <w:sz w:val="22"/>
          <w:szCs w:val="18"/>
          <w:lang w:eastAsia="fr-FR"/>
        </w:rPr>
      </w:pPr>
    </w:p>
    <w:p w14:paraId="2D03C269" w14:textId="7E54DFEA"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5.1.47</w:t>
      </w:r>
      <w:r w:rsidRPr="000B10A2">
        <w:rPr>
          <w:color w:val="000000" w:themeColor="text1"/>
          <w:sz w:val="22"/>
          <w:szCs w:val="18"/>
          <w:lang w:eastAsia="fr-FR"/>
        </w:rPr>
        <w:tab/>
        <w:t>DL timing drift</w:t>
      </w:r>
    </w:p>
    <w:tbl>
      <w:tblPr>
        <w:tblStyle w:val="TableGrid"/>
        <w:tblW w:w="0" w:type="auto"/>
        <w:tblLook w:val="04A0" w:firstRow="1" w:lastRow="0" w:firstColumn="1" w:lastColumn="0" w:noHBand="0" w:noVBand="1"/>
      </w:tblPr>
      <w:tblGrid>
        <w:gridCol w:w="2122"/>
        <w:gridCol w:w="7228"/>
      </w:tblGrid>
      <w:tr w:rsidR="000B10A2" w14:paraId="40EF2320" w14:textId="77777777" w:rsidTr="00CC49B3">
        <w:tc>
          <w:tcPr>
            <w:tcW w:w="2122" w:type="dxa"/>
          </w:tcPr>
          <w:p w14:paraId="67E78FB8" w14:textId="77777777" w:rsidR="000B10A2" w:rsidRDefault="000B10A2" w:rsidP="00CC49B3">
            <w:pPr>
              <w:spacing w:after="120"/>
              <w:jc w:val="both"/>
              <w:rPr>
                <w:color w:val="000000" w:themeColor="text1"/>
                <w:sz w:val="22"/>
                <w:szCs w:val="18"/>
                <w:lang w:eastAsia="fr-FR"/>
              </w:rPr>
            </w:pPr>
            <w:r w:rsidRPr="000B10A2">
              <w:rPr>
                <w:color w:val="000000" w:themeColor="text1"/>
                <w:sz w:val="22"/>
                <w:szCs w:val="18"/>
                <w:lang w:eastAsia="fr-FR"/>
              </w:rPr>
              <w:t>Definition</w:t>
            </w:r>
          </w:p>
        </w:tc>
        <w:tc>
          <w:tcPr>
            <w:tcW w:w="7228" w:type="dxa"/>
          </w:tcPr>
          <w:p w14:paraId="7B6B2551" w14:textId="037D7096" w:rsidR="000B10A2" w:rsidRP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DL timing drift measurement is defined as the DL timing estimated to be shifted due to Doppler over the service link associated with the UE Rx-Tx time difference measurement period.</w:t>
            </w:r>
          </w:p>
          <w:p w14:paraId="1CA3548B" w14:textId="58838125" w:rsidR="000B10A2" w:rsidRDefault="000B10A2" w:rsidP="000B10A2">
            <w:pPr>
              <w:spacing w:after="120"/>
              <w:jc w:val="both"/>
              <w:rPr>
                <w:color w:val="000000" w:themeColor="text1"/>
                <w:sz w:val="22"/>
                <w:szCs w:val="18"/>
                <w:lang w:eastAsia="fr-FR"/>
              </w:rPr>
            </w:pPr>
            <w:r w:rsidRPr="000B10A2">
              <w:rPr>
                <w:color w:val="000000" w:themeColor="text1"/>
                <w:sz w:val="22"/>
                <w:szCs w:val="18"/>
                <w:lang w:eastAsia="fr-FR"/>
              </w:rPr>
              <w:t>For frequency range 1, the reference point for the DL timing drift measurement shall be the Rx antenna connector of the UE. For frequency range 2, the reference point for the DL timing drift measurement shall be the Rx antenna of the UE.</w:t>
            </w:r>
          </w:p>
        </w:tc>
      </w:tr>
      <w:tr w:rsidR="000B10A2" w14:paraId="618ACE1E" w14:textId="77777777" w:rsidTr="00CC49B3">
        <w:tc>
          <w:tcPr>
            <w:tcW w:w="2122" w:type="dxa"/>
          </w:tcPr>
          <w:p w14:paraId="3123592B" w14:textId="77777777" w:rsidR="000B10A2" w:rsidRDefault="000B10A2" w:rsidP="00CC49B3">
            <w:pPr>
              <w:spacing w:after="120"/>
              <w:jc w:val="both"/>
              <w:rPr>
                <w:color w:val="000000" w:themeColor="text1"/>
                <w:sz w:val="22"/>
                <w:szCs w:val="18"/>
                <w:lang w:eastAsia="fr-FR"/>
              </w:rPr>
            </w:pPr>
            <w:r>
              <w:rPr>
                <w:color w:val="000000" w:themeColor="text1"/>
                <w:sz w:val="22"/>
                <w:szCs w:val="18"/>
                <w:lang w:eastAsia="fr-FR"/>
              </w:rPr>
              <w:t>Applicable for</w:t>
            </w:r>
          </w:p>
        </w:tc>
        <w:tc>
          <w:tcPr>
            <w:tcW w:w="7228" w:type="dxa"/>
          </w:tcPr>
          <w:p w14:paraId="34209898" w14:textId="77777777" w:rsidR="000B10A2" w:rsidRDefault="000B10A2" w:rsidP="00CC49B3">
            <w:pPr>
              <w:spacing w:after="120"/>
              <w:jc w:val="both"/>
              <w:rPr>
                <w:color w:val="000000" w:themeColor="text1"/>
                <w:sz w:val="22"/>
                <w:szCs w:val="18"/>
                <w:lang w:eastAsia="fr-FR"/>
              </w:rPr>
            </w:pPr>
            <w:r>
              <w:rPr>
                <w:color w:val="000000" w:themeColor="text1"/>
                <w:sz w:val="22"/>
                <w:szCs w:val="18"/>
                <w:lang w:eastAsia="fr-FR"/>
              </w:rPr>
              <w:t>RRC_CONNECTED</w:t>
            </w:r>
          </w:p>
        </w:tc>
      </w:tr>
    </w:tbl>
    <w:p w14:paraId="7F431C9B" w14:textId="0007CA92" w:rsidR="000B10A2" w:rsidRDefault="000B10A2" w:rsidP="009B6CE5">
      <w:pPr>
        <w:spacing w:after="120"/>
        <w:jc w:val="both"/>
        <w:rPr>
          <w:color w:val="000000" w:themeColor="text1"/>
          <w:sz w:val="22"/>
          <w:szCs w:val="18"/>
          <w:lang w:eastAsia="fr-FR"/>
        </w:rPr>
      </w:pPr>
    </w:p>
    <w:p w14:paraId="347D4337" w14:textId="455EECF0" w:rsidR="000B10A2" w:rsidRDefault="000B10A2" w:rsidP="009B6CE5">
      <w:pPr>
        <w:spacing w:after="120"/>
        <w:jc w:val="both"/>
        <w:rPr>
          <w:i/>
          <w:iCs/>
          <w:color w:val="000000" w:themeColor="text1"/>
          <w:sz w:val="22"/>
          <w:szCs w:val="18"/>
          <w:lang w:eastAsia="fr-FR"/>
        </w:rPr>
      </w:pPr>
      <w:r w:rsidRPr="000B10A2">
        <w:rPr>
          <w:b/>
          <w:bCs/>
          <w:i/>
          <w:iCs/>
          <w:color w:val="000000" w:themeColor="text1"/>
          <w:sz w:val="22"/>
          <w:szCs w:val="18"/>
          <w:lang w:eastAsia="fr-FR"/>
        </w:rPr>
        <w:t>Observation 1</w:t>
      </w:r>
      <w:r w:rsidRPr="000B10A2">
        <w:rPr>
          <w:i/>
          <w:iCs/>
          <w:color w:val="000000" w:themeColor="text1"/>
          <w:sz w:val="22"/>
          <w:szCs w:val="18"/>
          <w:lang w:eastAsia="fr-FR"/>
        </w:rPr>
        <w:t>: No further enhancements needed for Combination of “UE and gNB receive-transmit time difference measurements.</w:t>
      </w:r>
    </w:p>
    <w:p w14:paraId="65B48502" w14:textId="77777777" w:rsidR="000B10A2" w:rsidRPr="000B10A2" w:rsidRDefault="000B10A2" w:rsidP="009B6CE5">
      <w:pPr>
        <w:spacing w:after="120"/>
        <w:jc w:val="both"/>
        <w:rPr>
          <w:color w:val="000000" w:themeColor="text1"/>
          <w:sz w:val="22"/>
          <w:szCs w:val="18"/>
          <w:lang w:eastAsia="fr-FR"/>
        </w:rPr>
      </w:pPr>
    </w:p>
    <w:p w14:paraId="1DA64486" w14:textId="58469284" w:rsidR="00E52A5D" w:rsidRPr="004D5E21" w:rsidRDefault="00576182" w:rsidP="004D5E21">
      <w:pPr>
        <w:pStyle w:val="Heading1"/>
        <w:jc w:val="both"/>
        <w:rPr>
          <w:rFonts w:ascii="Times New Roman" w:hAnsi="Times New Roman"/>
          <w:b/>
          <w:sz w:val="22"/>
          <w:szCs w:val="22"/>
        </w:rPr>
      </w:pPr>
      <w:r>
        <w:rPr>
          <w:rFonts w:ascii="Times New Roman" w:hAnsi="Times New Roman"/>
          <w:b/>
          <w:sz w:val="22"/>
          <w:szCs w:val="22"/>
        </w:rPr>
        <w:lastRenderedPageBreak/>
        <w:t>5</w:t>
      </w:r>
      <w:r w:rsidR="004D5E21">
        <w:rPr>
          <w:rFonts w:ascii="Times New Roman" w:hAnsi="Times New Roman"/>
          <w:b/>
          <w:sz w:val="22"/>
          <w:szCs w:val="22"/>
        </w:rPr>
        <w:t xml:space="preserve"> </w:t>
      </w:r>
      <w:bookmarkStart w:id="3" w:name="_Hlk131585106"/>
      <w:r w:rsidR="00534163">
        <w:rPr>
          <w:rFonts w:ascii="Times New Roman" w:hAnsi="Times New Roman"/>
          <w:b/>
          <w:sz w:val="22"/>
          <w:szCs w:val="22"/>
        </w:rPr>
        <w:t xml:space="preserve">Discussion on </w:t>
      </w:r>
      <w:r w:rsidR="00534163" w:rsidRPr="00534163">
        <w:rPr>
          <w:rFonts w:ascii="Times New Roman" w:hAnsi="Times New Roman"/>
          <w:b/>
          <w:sz w:val="22"/>
          <w:szCs w:val="22"/>
        </w:rPr>
        <w:t>E-CID</w:t>
      </w:r>
      <w:bookmarkEnd w:id="3"/>
    </w:p>
    <w:p w14:paraId="68950D49" w14:textId="5395DDC8" w:rsidR="004D5E21" w:rsidRDefault="002A1E7B" w:rsidP="00746761">
      <w:pPr>
        <w:spacing w:after="120"/>
        <w:jc w:val="both"/>
        <w:rPr>
          <w:rFonts w:eastAsiaTheme="minorEastAsia"/>
          <w:sz w:val="22"/>
          <w:szCs w:val="22"/>
          <w:lang w:eastAsia="zh-CN"/>
        </w:rPr>
      </w:pPr>
      <w:r w:rsidRPr="002A1E7B">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6B255301" wp14:editId="0409A3E3">
                <wp:simplePos x="0" y="0"/>
                <wp:positionH relativeFrom="column">
                  <wp:posOffset>33655</wp:posOffset>
                </wp:positionH>
                <wp:positionV relativeFrom="paragraph">
                  <wp:posOffset>577850</wp:posOffset>
                </wp:positionV>
                <wp:extent cx="5827395" cy="1903730"/>
                <wp:effectExtent l="0" t="0" r="20955"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1903730"/>
                        </a:xfrm>
                        <a:prstGeom prst="rect">
                          <a:avLst/>
                        </a:prstGeom>
                        <a:solidFill>
                          <a:srgbClr val="FFFFFF"/>
                        </a:solidFill>
                        <a:ln w="9525">
                          <a:solidFill>
                            <a:srgbClr val="000000"/>
                          </a:solidFill>
                          <a:miter lim="800000"/>
                          <a:headEnd/>
                          <a:tailEnd/>
                        </a:ln>
                      </wps:spPr>
                      <wps:txb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(e.g. combine UE neighbor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(e.g.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UL-AoA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255301" id="_x0000_t202" coordsize="21600,21600" o:spt="202" path="m,l,21600r21600,l21600,xe">
                <v:stroke joinstyle="miter"/>
                <v:path gradientshapeok="t" o:connecttype="rect"/>
              </v:shapetype>
              <v:shape id="Text Box 2" o:spid="_x0000_s1026" type="#_x0000_t202" style="position:absolute;left:0;text-align:left;margin-left:2.65pt;margin-top:45.5pt;width:458.85pt;height:149.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">
                <v:textbo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w:t>
                      </w:r>
                      <w:proofErr w:type="gramStart"/>
                      <w:r w:rsidRPr="002A1E7B">
                        <w:rPr>
                          <w:sz w:val="20"/>
                          <w:szCs w:val="16"/>
                        </w:rPr>
                        <w:t>e.g.</w:t>
                      </w:r>
                      <w:proofErr w:type="gramEnd"/>
                      <w:r w:rsidRPr="002A1E7B">
                        <w:rPr>
                          <w:sz w:val="20"/>
                          <w:szCs w:val="16"/>
                        </w:rPr>
                        <w:t xml:space="preserve"> combine UE </w:t>
                      </w:r>
                      <w:proofErr w:type="spellStart"/>
                      <w:r w:rsidRPr="002A1E7B">
                        <w:rPr>
                          <w:sz w:val="20"/>
                          <w:szCs w:val="16"/>
                        </w:rPr>
                        <w:t>neighbor</w:t>
                      </w:r>
                      <w:proofErr w:type="spellEnd"/>
                      <w:r w:rsidRPr="002A1E7B">
                        <w:rPr>
                          <w:sz w:val="20"/>
                          <w:szCs w:val="16"/>
                        </w:rPr>
                        <w:t xml:space="preserve">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w:t>
                      </w:r>
                      <w:proofErr w:type="gramStart"/>
                      <w:r w:rsidRPr="002A1E7B">
                        <w:rPr>
                          <w:sz w:val="20"/>
                          <w:szCs w:val="16"/>
                        </w:rPr>
                        <w:t>e.g.</w:t>
                      </w:r>
                      <w:proofErr w:type="gramEnd"/>
                      <w:r w:rsidRPr="002A1E7B">
                        <w:rPr>
                          <w:sz w:val="20"/>
                          <w:szCs w:val="16"/>
                        </w:rPr>
                        <w:t xml:space="preserve">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w:t>
                      </w:r>
                      <w:proofErr w:type="spellStart"/>
                      <w:r w:rsidRPr="002A1E7B">
                        <w:rPr>
                          <w:sz w:val="20"/>
                          <w:szCs w:val="16"/>
                        </w:rPr>
                        <w:t>AoA</w:t>
                      </w:r>
                      <w:proofErr w:type="spellEnd"/>
                      <w:r w:rsidRPr="002A1E7B">
                        <w:rPr>
                          <w:sz w:val="20"/>
                          <w:szCs w:val="16"/>
                        </w:rPr>
                        <w:t xml:space="preserve">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v:textbox>
                <w10:wrap type="square"/>
              </v:shape>
            </w:pict>
          </mc:Fallback>
        </mc:AlternateContent>
      </w:r>
      <w:r w:rsidRPr="002A1E7B">
        <w:rPr>
          <w:rFonts w:eastAsiaTheme="minorEastAsia"/>
          <w:sz w:val="22"/>
          <w:szCs w:val="22"/>
          <w:lang w:eastAsia="zh-CN"/>
        </w:rPr>
        <w:t>RAN1#112 made the following agreement on the reference point for Mirror positions ambiguity for multi-RTT positioning</w:t>
      </w:r>
      <w:r>
        <w:rPr>
          <w:rFonts w:eastAsiaTheme="minorEastAsia"/>
          <w:sz w:val="22"/>
          <w:szCs w:val="22"/>
          <w:lang w:eastAsia="zh-CN"/>
        </w:rPr>
        <w:t>.</w:t>
      </w:r>
    </w:p>
    <w:p w14:paraId="5996E156" w14:textId="01CC3604" w:rsidR="004D5E21" w:rsidRDefault="004D5E21" w:rsidP="00746761">
      <w:pPr>
        <w:spacing w:after="120"/>
        <w:jc w:val="both"/>
        <w:rPr>
          <w:rFonts w:eastAsiaTheme="minorEastAsia"/>
          <w:sz w:val="22"/>
          <w:szCs w:val="22"/>
          <w:lang w:eastAsia="zh-CN"/>
        </w:rPr>
      </w:pPr>
    </w:p>
    <w:p w14:paraId="1240DBA6" w14:textId="31F13531" w:rsidR="00182B78" w:rsidRDefault="00182B78" w:rsidP="00746761">
      <w:pPr>
        <w:spacing w:after="120"/>
        <w:jc w:val="both"/>
        <w:rPr>
          <w:rFonts w:eastAsiaTheme="minorEastAsia"/>
          <w:sz w:val="22"/>
          <w:szCs w:val="22"/>
          <w:lang w:eastAsia="zh-CN"/>
        </w:rPr>
      </w:pPr>
      <w:r>
        <w:rPr>
          <w:rFonts w:eastAsiaTheme="minorEastAsia"/>
          <w:sz w:val="22"/>
          <w:szCs w:val="22"/>
          <w:lang w:eastAsia="zh-CN"/>
        </w:rPr>
        <w:t>RAN1#114 made the following agreement and conclusions:</w:t>
      </w:r>
    </w:p>
    <w:p w14:paraId="27B4208B" w14:textId="77777777" w:rsidR="00182B78" w:rsidRPr="00182B78" w:rsidRDefault="00182B78" w:rsidP="00182B78">
      <w:pPr>
        <w:rPr>
          <w:iCs/>
          <w:color w:val="000000" w:themeColor="text1"/>
          <w:sz w:val="22"/>
          <w:szCs w:val="18"/>
        </w:rPr>
      </w:pPr>
      <w:r w:rsidRPr="00182B78">
        <w:rPr>
          <w:iCs/>
          <w:color w:val="000000" w:themeColor="text1"/>
          <w:sz w:val="22"/>
          <w:szCs w:val="18"/>
          <w:highlight w:val="green"/>
        </w:rPr>
        <w:t>Agreement</w:t>
      </w:r>
    </w:p>
    <w:p w14:paraId="44512C9E" w14:textId="77777777" w:rsidR="00182B78" w:rsidRPr="00182B78" w:rsidRDefault="00182B78" w:rsidP="00182B78">
      <w:pPr>
        <w:rPr>
          <w:color w:val="000000" w:themeColor="text1"/>
          <w:sz w:val="22"/>
          <w:szCs w:val="18"/>
        </w:rPr>
      </w:pPr>
      <w:r w:rsidRPr="00182B78">
        <w:rPr>
          <w:color w:val="000000" w:themeColor="text1"/>
          <w:sz w:val="22"/>
          <w:szCs w:val="18"/>
        </w:rPr>
        <w:t>Confirm the working assumption with the additional note below:</w:t>
      </w:r>
    </w:p>
    <w:p w14:paraId="7929851C" w14:textId="77777777" w:rsidR="00182B78" w:rsidRPr="00182B78" w:rsidRDefault="00182B78" w:rsidP="00182B78">
      <w:pPr>
        <w:rPr>
          <w:color w:val="000000" w:themeColor="text1"/>
          <w:sz w:val="22"/>
          <w:szCs w:val="18"/>
          <w:highlight w:val="darkYellow"/>
        </w:rPr>
      </w:pPr>
    </w:p>
    <w:p w14:paraId="48E46999" w14:textId="77777777" w:rsidR="00182B78" w:rsidRPr="00182B78" w:rsidRDefault="00182B78" w:rsidP="00182B78">
      <w:pPr>
        <w:ind w:leftChars="200" w:left="480"/>
        <w:rPr>
          <w:color w:val="000000" w:themeColor="text1"/>
          <w:sz w:val="22"/>
          <w:szCs w:val="18"/>
        </w:rPr>
      </w:pPr>
      <w:r w:rsidRPr="00182B78">
        <w:rPr>
          <w:color w:val="000000" w:themeColor="text1"/>
          <w:sz w:val="22"/>
          <w:szCs w:val="18"/>
          <w:highlight w:val="darkYellow"/>
        </w:rPr>
        <w:t>Working assumption</w:t>
      </w:r>
    </w:p>
    <w:p w14:paraId="7DB3F81B" w14:textId="77777777" w:rsidR="00182B78" w:rsidRPr="00182B78" w:rsidRDefault="00182B78" w:rsidP="00182B78">
      <w:pPr>
        <w:ind w:leftChars="200" w:left="480"/>
        <w:rPr>
          <w:rFonts w:eastAsia="Times New Roman"/>
          <w:color w:val="000000" w:themeColor="text1"/>
          <w:sz w:val="22"/>
          <w:szCs w:val="18"/>
        </w:rPr>
      </w:pPr>
      <w:r w:rsidRPr="00182B78">
        <w:rPr>
          <w:rFonts w:eastAsia="Times New Roman"/>
          <w:color w:val="000000" w:themeColor="text1"/>
          <w:sz w:val="22"/>
          <w:szCs w:val="18"/>
        </w:rPr>
        <w:t>In NTN, gNB receive-transmit time difference calculated at uplink time synchronization reference point is reported to the LMF.</w:t>
      </w:r>
    </w:p>
    <w:p w14:paraId="7C4228BA" w14:textId="77777777" w:rsidR="00182B78" w:rsidRPr="00182B78" w:rsidRDefault="00182B78" w:rsidP="00182B78">
      <w:pPr>
        <w:ind w:leftChars="200" w:left="480"/>
        <w:rPr>
          <w:iCs/>
          <w:color w:val="000000" w:themeColor="text1"/>
          <w:sz w:val="22"/>
          <w:szCs w:val="18"/>
        </w:rPr>
      </w:pPr>
      <w:r w:rsidRPr="00182B78">
        <w:rPr>
          <w:rFonts w:eastAsia="DengXian"/>
          <w:bCs/>
          <w:color w:val="000000" w:themeColor="text1"/>
          <w:sz w:val="22"/>
          <w:szCs w:val="18"/>
          <w:lang w:eastAsia="zh-CN"/>
        </w:rPr>
        <w:t>Note: This does not imply that the actual gNB receive-transmit time difference measurement is necessarily made at the uplink time synchronization reference point</w:t>
      </w:r>
    </w:p>
    <w:p w14:paraId="112170C4" w14:textId="77777777" w:rsidR="00182B78" w:rsidRPr="00182B78" w:rsidRDefault="00182B78" w:rsidP="00182B78">
      <w:pPr>
        <w:rPr>
          <w:iCs/>
          <w:sz w:val="22"/>
          <w:szCs w:val="18"/>
        </w:rPr>
      </w:pPr>
    </w:p>
    <w:p w14:paraId="4AEFD928" w14:textId="77777777" w:rsidR="00182B78" w:rsidRPr="00182B78" w:rsidRDefault="00182B78" w:rsidP="00182B78">
      <w:pPr>
        <w:rPr>
          <w:b/>
          <w:iCs/>
          <w:sz w:val="22"/>
          <w:szCs w:val="18"/>
        </w:rPr>
      </w:pPr>
      <w:r w:rsidRPr="00182B78">
        <w:rPr>
          <w:b/>
          <w:iCs/>
          <w:sz w:val="22"/>
          <w:szCs w:val="18"/>
        </w:rPr>
        <w:t>Conclusion</w:t>
      </w:r>
    </w:p>
    <w:p w14:paraId="6E6AB815" w14:textId="77777777" w:rsidR="00182B78" w:rsidRPr="00182B78" w:rsidRDefault="00182B78" w:rsidP="00182B78">
      <w:pPr>
        <w:rPr>
          <w:iCs/>
          <w:sz w:val="22"/>
          <w:szCs w:val="18"/>
        </w:rPr>
      </w:pPr>
      <w:r w:rsidRPr="00182B78">
        <w:rPr>
          <w:iCs/>
          <w:sz w:val="22"/>
          <w:szCs w:val="18"/>
        </w:rPr>
        <w:t>No need to support common TA information report from UE to LMF with consideration that common TA information report from gNB has been agreed supported.</w:t>
      </w:r>
    </w:p>
    <w:p w14:paraId="0F24F4B1" w14:textId="77777777" w:rsidR="00182B78" w:rsidRPr="00182B78" w:rsidRDefault="00182B78" w:rsidP="00182B78">
      <w:pPr>
        <w:rPr>
          <w:iCs/>
          <w:sz w:val="22"/>
          <w:szCs w:val="18"/>
        </w:rPr>
      </w:pPr>
    </w:p>
    <w:p w14:paraId="17CBF5E8" w14:textId="77777777" w:rsidR="00182B78" w:rsidRPr="00182B78" w:rsidRDefault="00182B78" w:rsidP="00182B78">
      <w:pPr>
        <w:rPr>
          <w:b/>
          <w:iCs/>
          <w:sz w:val="22"/>
          <w:szCs w:val="18"/>
        </w:rPr>
      </w:pPr>
      <w:r w:rsidRPr="00182B78">
        <w:rPr>
          <w:b/>
          <w:iCs/>
          <w:sz w:val="22"/>
          <w:szCs w:val="18"/>
        </w:rPr>
        <w:t>Conclusion</w:t>
      </w:r>
    </w:p>
    <w:p w14:paraId="06A58353" w14:textId="77777777" w:rsidR="00182B78" w:rsidRPr="00182B78" w:rsidRDefault="00182B78" w:rsidP="00182B78">
      <w:pPr>
        <w:rPr>
          <w:bCs/>
          <w:sz w:val="22"/>
          <w:szCs w:val="18"/>
        </w:rPr>
      </w:pPr>
      <w:r w:rsidRPr="00182B78">
        <w:rPr>
          <w:bCs/>
          <w:sz w:val="22"/>
          <w:szCs w:val="18"/>
        </w:rPr>
        <w:t>To resolve the mirror positions ambiguity for multi-RTT positioning, the following methods can be used without RAN1 specification impact from RAN1 perspective:</w:t>
      </w:r>
    </w:p>
    <w:p w14:paraId="16ABC9EB" w14:textId="77777777" w:rsidR="00182B78" w:rsidRPr="00182B78" w:rsidRDefault="00182B78" w:rsidP="00182B78">
      <w:pPr>
        <w:numPr>
          <w:ilvl w:val="0"/>
          <w:numId w:val="27"/>
        </w:numPr>
        <w:snapToGrid w:val="0"/>
        <w:ind w:left="720"/>
        <w:rPr>
          <w:rFonts w:eastAsia="DengXian"/>
          <w:bCs/>
          <w:sz w:val="22"/>
          <w:szCs w:val="18"/>
        </w:rPr>
      </w:pPr>
      <w:r w:rsidRPr="00182B78">
        <w:rPr>
          <w:rFonts w:eastAsia="DengXian"/>
          <w:bCs/>
          <w:sz w:val="22"/>
          <w:szCs w:val="18"/>
        </w:rPr>
        <w:t>by gNB or LMF implementation</w:t>
      </w:r>
    </w:p>
    <w:p w14:paraId="576DE9C7" w14:textId="77777777" w:rsidR="00182B78" w:rsidRPr="00182B78" w:rsidRDefault="00182B78" w:rsidP="00182B78">
      <w:pPr>
        <w:numPr>
          <w:ilvl w:val="0"/>
          <w:numId w:val="27"/>
        </w:numPr>
        <w:snapToGrid w:val="0"/>
        <w:ind w:left="720"/>
        <w:rPr>
          <w:rFonts w:eastAsia="DengXian"/>
          <w:bCs/>
          <w:sz w:val="22"/>
          <w:szCs w:val="18"/>
        </w:rPr>
      </w:pPr>
      <w:r w:rsidRPr="00182B78">
        <w:rPr>
          <w:rFonts w:eastAsia="DengXian"/>
          <w:bCs/>
          <w:sz w:val="22"/>
          <w:szCs w:val="18"/>
        </w:rPr>
        <w:t>existing ECID method</w:t>
      </w:r>
    </w:p>
    <w:p w14:paraId="2EAE53FB" w14:textId="77777777" w:rsidR="00182B78" w:rsidRPr="00182B78" w:rsidRDefault="00182B78" w:rsidP="00182B78">
      <w:pPr>
        <w:numPr>
          <w:ilvl w:val="0"/>
          <w:numId w:val="27"/>
        </w:numPr>
        <w:snapToGrid w:val="0"/>
        <w:ind w:left="720"/>
        <w:rPr>
          <w:rFonts w:eastAsia="DengXian"/>
          <w:bCs/>
          <w:sz w:val="22"/>
          <w:szCs w:val="18"/>
        </w:rPr>
      </w:pPr>
      <w:r w:rsidRPr="00182B78">
        <w:rPr>
          <w:rFonts w:eastAsia="DengXian"/>
          <w:bCs/>
          <w:sz w:val="22"/>
          <w:szCs w:val="18"/>
        </w:rPr>
        <w:t>UL-AoA</w:t>
      </w:r>
    </w:p>
    <w:p w14:paraId="2D761FF1" w14:textId="5D7421FE" w:rsidR="00182B78" w:rsidRPr="00C82315" w:rsidRDefault="00182B78" w:rsidP="00746761">
      <w:pPr>
        <w:spacing w:after="120"/>
        <w:jc w:val="both"/>
        <w:rPr>
          <w:rFonts w:eastAsiaTheme="minorEastAsia"/>
          <w:sz w:val="22"/>
          <w:szCs w:val="22"/>
          <w:lang w:eastAsia="zh-CN"/>
        </w:rPr>
      </w:pPr>
    </w:p>
    <w:p w14:paraId="47610F00" w14:textId="77777777" w:rsidR="00C82315" w:rsidRPr="00C82315" w:rsidRDefault="00C82315" w:rsidP="00C82315">
      <w:pPr>
        <w:rPr>
          <w:iCs/>
          <w:sz w:val="22"/>
          <w:szCs w:val="18"/>
        </w:rPr>
      </w:pPr>
      <w:r w:rsidRPr="00C82315">
        <w:rPr>
          <w:iCs/>
          <w:sz w:val="22"/>
          <w:szCs w:val="18"/>
          <w:highlight w:val="green"/>
        </w:rPr>
        <w:t>Agreement</w:t>
      </w:r>
    </w:p>
    <w:p w14:paraId="71894664" w14:textId="77777777" w:rsidR="00C82315" w:rsidRPr="00C82315" w:rsidRDefault="00C82315" w:rsidP="00C82315">
      <w:pPr>
        <w:rPr>
          <w:iCs/>
          <w:sz w:val="22"/>
          <w:szCs w:val="18"/>
        </w:rPr>
      </w:pPr>
      <w:r w:rsidRPr="00C82315">
        <w:rPr>
          <w:sz w:val="22"/>
          <w:szCs w:val="18"/>
        </w:rPr>
        <w:t>Ephemeris information for UE location verification, including accurate satellite position and velocity at the time of measurement, should be available at LMF.</w:t>
      </w:r>
    </w:p>
    <w:p w14:paraId="4B48EAB5" w14:textId="77777777" w:rsidR="00C82315" w:rsidRPr="00C82315" w:rsidRDefault="00C82315" w:rsidP="00746761">
      <w:pPr>
        <w:spacing w:after="120"/>
        <w:jc w:val="both"/>
        <w:rPr>
          <w:rFonts w:eastAsiaTheme="minorEastAsia"/>
          <w:sz w:val="22"/>
          <w:szCs w:val="22"/>
          <w:lang w:eastAsia="zh-CN"/>
        </w:rPr>
      </w:pPr>
    </w:p>
    <w:p w14:paraId="1873EAAD" w14:textId="4FD6D46E" w:rsidR="00534163" w:rsidRDefault="00534163" w:rsidP="00746761">
      <w:pPr>
        <w:spacing w:after="120"/>
        <w:jc w:val="both"/>
        <w:rPr>
          <w:rFonts w:eastAsiaTheme="minorEastAsia"/>
          <w:sz w:val="22"/>
          <w:szCs w:val="22"/>
          <w:lang w:eastAsia="zh-CN"/>
        </w:rPr>
      </w:pPr>
      <w:r>
        <w:rPr>
          <w:rFonts w:eastAsiaTheme="minorEastAsia"/>
          <w:sz w:val="22"/>
          <w:szCs w:val="22"/>
          <w:lang w:eastAsia="zh-CN"/>
        </w:rPr>
        <w:t xml:space="preserve">Following RAN1#101 agreement, prioritization to Option 2 </w:t>
      </w:r>
      <w:r w:rsidRPr="00534163">
        <w:rPr>
          <w:rFonts w:eastAsiaTheme="minorEastAsia"/>
          <w:sz w:val="22"/>
          <w:szCs w:val="22"/>
          <w:lang w:eastAsia="zh-CN"/>
        </w:rPr>
        <w:t>Reuse existing ECID method (e.g. combine UE neighbo</w:t>
      </w:r>
      <w:r>
        <w:rPr>
          <w:rFonts w:eastAsiaTheme="minorEastAsia"/>
          <w:sz w:val="22"/>
          <w:szCs w:val="22"/>
          <w:lang w:eastAsia="zh-CN"/>
        </w:rPr>
        <w:t>u</w:t>
      </w:r>
      <w:r w:rsidRPr="00534163">
        <w:rPr>
          <w:rFonts w:eastAsiaTheme="minorEastAsia"/>
          <w:sz w:val="22"/>
          <w:szCs w:val="22"/>
          <w:lang w:eastAsia="zh-CN"/>
        </w:rPr>
        <w:t>r measurements to solve the ambiguity between mirror positions), with potential enhancements</w:t>
      </w:r>
      <w:r>
        <w:rPr>
          <w:rFonts w:eastAsiaTheme="minorEastAsia"/>
          <w:sz w:val="22"/>
          <w:szCs w:val="22"/>
          <w:lang w:eastAsia="zh-CN"/>
        </w:rPr>
        <w:t xml:space="preserve"> is prioritised.</w:t>
      </w:r>
    </w:p>
    <w:p w14:paraId="7CAB529F" w14:textId="34A06BE7" w:rsidR="002A1E7B" w:rsidRDefault="00931C4C" w:rsidP="00746761">
      <w:pPr>
        <w:spacing w:after="120"/>
        <w:jc w:val="both"/>
        <w:rPr>
          <w:rFonts w:eastAsiaTheme="minorEastAsia"/>
          <w:sz w:val="22"/>
          <w:szCs w:val="22"/>
          <w:lang w:eastAsia="zh-CN"/>
        </w:rPr>
      </w:pPr>
      <w:r w:rsidRPr="00931C4C">
        <w:rPr>
          <w:rFonts w:eastAsiaTheme="minorEastAsia"/>
          <w:sz w:val="22"/>
          <w:szCs w:val="22"/>
          <w:lang w:eastAsia="zh-CN"/>
        </w:rPr>
        <w:t xml:space="preserve">Since NR NTN satellite is very likely to be a multiple beam satellite, </w:t>
      </w:r>
      <w:r>
        <w:rPr>
          <w:rFonts w:eastAsiaTheme="minorEastAsia"/>
          <w:sz w:val="22"/>
          <w:szCs w:val="22"/>
          <w:lang w:eastAsia="zh-CN"/>
        </w:rPr>
        <w:t>re-using</w:t>
      </w:r>
      <w:r w:rsidRPr="00931C4C">
        <w:rPr>
          <w:rFonts w:eastAsiaTheme="minorEastAsia"/>
          <w:sz w:val="22"/>
          <w:szCs w:val="22"/>
          <w:lang w:eastAsia="zh-CN"/>
        </w:rPr>
        <w:t xml:space="preserve"> existing ECID method (e.g. combine UE neighbour measurements to solve the ambiguity between mirror positions)” seem to be the </w:t>
      </w:r>
      <w:r w:rsidRPr="00931C4C">
        <w:rPr>
          <w:rFonts w:eastAsiaTheme="minorEastAsia"/>
          <w:sz w:val="22"/>
          <w:szCs w:val="22"/>
          <w:lang w:eastAsia="zh-CN"/>
        </w:rPr>
        <w:lastRenderedPageBreak/>
        <w:t xml:space="preserve">simplest way to resolve the Mirror positions ambiguity for multi-RTT positioning. It should not have </w:t>
      </w:r>
      <w:bookmarkStart w:id="4" w:name="_Hlk146784387"/>
      <w:r w:rsidRPr="00931C4C">
        <w:rPr>
          <w:rFonts w:eastAsiaTheme="minorEastAsia"/>
          <w:sz w:val="22"/>
          <w:szCs w:val="22"/>
          <w:lang w:eastAsia="zh-CN"/>
        </w:rPr>
        <w:t>any additional impact for connected measurements, since these measurements are anyway needed for mobility.</w:t>
      </w:r>
      <w:bookmarkEnd w:id="4"/>
      <w:r w:rsidR="0054673E">
        <w:rPr>
          <w:rFonts w:eastAsiaTheme="minorEastAsia"/>
          <w:sz w:val="22"/>
          <w:szCs w:val="22"/>
          <w:lang w:eastAsia="zh-CN"/>
        </w:rPr>
        <w:t xml:space="preserve"> SA2</w:t>
      </w:r>
      <w:r w:rsidR="0054673E" w:rsidRPr="0054673E">
        <w:rPr>
          <w:rFonts w:eastAsiaTheme="minorEastAsia"/>
          <w:sz w:val="22"/>
          <w:szCs w:val="22"/>
          <w:lang w:eastAsia="zh-CN"/>
        </w:rPr>
        <w:t xml:space="preserve"> request</w:t>
      </w:r>
      <w:r w:rsidR="0054673E">
        <w:rPr>
          <w:rFonts w:eastAsiaTheme="minorEastAsia"/>
          <w:sz w:val="22"/>
          <w:szCs w:val="22"/>
          <w:lang w:eastAsia="zh-CN"/>
        </w:rPr>
        <w:t>ed</w:t>
      </w:r>
      <w:r w:rsidR="0054673E" w:rsidRPr="0054673E">
        <w:rPr>
          <w:rFonts w:eastAsiaTheme="minorEastAsia"/>
          <w:sz w:val="22"/>
          <w:szCs w:val="22"/>
          <w:lang w:eastAsia="zh-CN"/>
        </w:rPr>
        <w:t xml:space="preserve"> that location verification be capable of being completed within a period of approximately 1 minute maximum and 30 seconds preferably.</w:t>
      </w:r>
      <w:r w:rsidR="0054673E">
        <w:rPr>
          <w:rFonts w:eastAsiaTheme="minorEastAsia"/>
          <w:sz w:val="22"/>
          <w:szCs w:val="22"/>
          <w:lang w:eastAsia="zh-CN"/>
        </w:rPr>
        <w:t xml:space="preserve"> This is reasonable time for connected measurements and report for E-CID. The network can determine which side of the orbital plane the UE is from the knowledge of the strongest neighbouring beams based on the neighbour RSRP measurement report. </w:t>
      </w:r>
    </w:p>
    <w:p w14:paraId="57BB2DC0" w14:textId="77777777" w:rsidR="0054673E" w:rsidRDefault="0054673E" w:rsidP="00746761">
      <w:pPr>
        <w:spacing w:after="120"/>
        <w:jc w:val="both"/>
        <w:rPr>
          <w:rFonts w:eastAsiaTheme="minorEastAsia"/>
          <w:sz w:val="22"/>
          <w:szCs w:val="22"/>
          <w:lang w:eastAsia="zh-CN"/>
        </w:rPr>
      </w:pPr>
    </w:p>
    <w:p w14:paraId="0BEA452A" w14:textId="10F1726A" w:rsidR="00931C4C" w:rsidRPr="00931C4C" w:rsidRDefault="00931C4C" w:rsidP="00746761">
      <w:pPr>
        <w:spacing w:after="120"/>
        <w:jc w:val="both"/>
        <w:rPr>
          <w:rFonts w:eastAsiaTheme="minorEastAsia"/>
          <w:i/>
          <w:iCs/>
          <w:sz w:val="22"/>
          <w:szCs w:val="22"/>
          <w:lang w:eastAsia="zh-CN"/>
        </w:rPr>
      </w:pPr>
      <w:r w:rsidRPr="00931C4C">
        <w:rPr>
          <w:rFonts w:eastAsiaTheme="minorEastAsia"/>
          <w:b/>
          <w:bCs/>
          <w:i/>
          <w:iCs/>
          <w:sz w:val="22"/>
          <w:szCs w:val="22"/>
          <w:lang w:eastAsia="zh-CN"/>
        </w:rPr>
        <w:t>Observation 2</w:t>
      </w:r>
      <w:r w:rsidRPr="00931C4C">
        <w:rPr>
          <w:rFonts w:eastAsiaTheme="minorEastAsia"/>
          <w:i/>
          <w:iCs/>
          <w:sz w:val="22"/>
          <w:szCs w:val="22"/>
          <w:lang w:eastAsia="zh-CN"/>
        </w:rPr>
        <w:t>: Existing E-CID method can be used to resolve mirror ambiguity without any additional impact for connected measurements, since these measurements are anyway needed for mobility.</w:t>
      </w:r>
    </w:p>
    <w:p w14:paraId="693D93D4" w14:textId="0A84C04D" w:rsidR="00931C4C" w:rsidRPr="0054673E" w:rsidRDefault="0054673E" w:rsidP="00746761">
      <w:pPr>
        <w:spacing w:after="120"/>
        <w:jc w:val="both"/>
        <w:rPr>
          <w:rFonts w:eastAsiaTheme="minorEastAsia"/>
          <w:i/>
          <w:iCs/>
          <w:sz w:val="22"/>
          <w:szCs w:val="22"/>
          <w:lang w:eastAsia="zh-CN"/>
        </w:rPr>
      </w:pPr>
      <w:r w:rsidRPr="0054673E">
        <w:rPr>
          <w:rFonts w:eastAsiaTheme="minorEastAsia"/>
          <w:b/>
          <w:bCs/>
          <w:i/>
          <w:iCs/>
          <w:sz w:val="22"/>
          <w:szCs w:val="22"/>
          <w:lang w:eastAsia="zh-CN"/>
        </w:rPr>
        <w:t>Observation 3</w:t>
      </w:r>
      <w:r w:rsidRPr="0054673E">
        <w:rPr>
          <w:rFonts w:eastAsiaTheme="minorEastAsia"/>
          <w:i/>
          <w:iCs/>
          <w:sz w:val="22"/>
          <w:szCs w:val="22"/>
          <w:lang w:eastAsia="zh-CN"/>
        </w:rPr>
        <w:t>: The network can determine which side of the orbital plane the UE is from the knowledge of the strongest neighbouring beams based on the neighbour RSRP measurement report.</w:t>
      </w:r>
    </w:p>
    <w:p w14:paraId="21D1F6B5" w14:textId="77777777" w:rsidR="0054673E" w:rsidRDefault="0054673E" w:rsidP="00746761">
      <w:pPr>
        <w:spacing w:after="120"/>
        <w:jc w:val="both"/>
        <w:rPr>
          <w:rFonts w:eastAsiaTheme="minorEastAsia"/>
          <w:sz w:val="22"/>
          <w:szCs w:val="22"/>
          <w:lang w:eastAsia="zh-CN"/>
        </w:rPr>
      </w:pPr>
    </w:p>
    <w:p w14:paraId="20FA10AB" w14:textId="21CD1F6E" w:rsidR="005F2BBB" w:rsidRPr="007F6704" w:rsidRDefault="004D5E21" w:rsidP="005F2BBB">
      <w:pPr>
        <w:pStyle w:val="Heading1"/>
        <w:jc w:val="both"/>
        <w:rPr>
          <w:rFonts w:ascii="Times New Roman" w:hAnsi="Times New Roman"/>
          <w:b/>
          <w:sz w:val="22"/>
          <w:szCs w:val="22"/>
        </w:rPr>
      </w:pPr>
      <w:r>
        <w:rPr>
          <w:rFonts w:ascii="Times New Roman" w:hAnsi="Times New Roman"/>
          <w:b/>
          <w:sz w:val="22"/>
          <w:szCs w:val="22"/>
        </w:rPr>
        <w:t>8</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3886C356"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13150C">
        <w:rPr>
          <w:sz w:val="22"/>
          <w:szCs w:val="22"/>
        </w:rPr>
        <w:t xml:space="preserve">observations and </w:t>
      </w:r>
      <w:r w:rsidRPr="007F6704">
        <w:rPr>
          <w:sz w:val="22"/>
          <w:szCs w:val="22"/>
        </w:rPr>
        <w:t xml:space="preserve">proposals </w:t>
      </w:r>
      <w:r>
        <w:rPr>
          <w:sz w:val="22"/>
          <w:szCs w:val="22"/>
        </w:rPr>
        <w:t>were made</w:t>
      </w:r>
      <w:r w:rsidR="001B7343">
        <w:rPr>
          <w:sz w:val="22"/>
          <w:szCs w:val="22"/>
        </w:rPr>
        <w:t xml:space="preserve"> as follows</w:t>
      </w:r>
      <w:r w:rsidR="0013150C">
        <w:rPr>
          <w:sz w:val="22"/>
          <w:szCs w:val="22"/>
        </w:rPr>
        <w:t>:</w:t>
      </w:r>
    </w:p>
    <w:p w14:paraId="25008DF0" w14:textId="215205E8" w:rsidR="00A626CF" w:rsidRDefault="00A626CF" w:rsidP="00EF492B">
      <w:pPr>
        <w:spacing w:after="120"/>
        <w:jc w:val="both"/>
        <w:rPr>
          <w:sz w:val="22"/>
          <w:szCs w:val="22"/>
        </w:rPr>
      </w:pPr>
    </w:p>
    <w:p w14:paraId="7DBDD761" w14:textId="2B0AAB8C" w:rsidR="00A626CF" w:rsidRDefault="00A626CF" w:rsidP="00A626CF">
      <w:pPr>
        <w:spacing w:after="120"/>
        <w:jc w:val="both"/>
        <w:rPr>
          <w:i/>
          <w:iCs/>
          <w:color w:val="000000" w:themeColor="text1"/>
          <w:sz w:val="22"/>
          <w:szCs w:val="18"/>
          <w:lang w:eastAsia="fr-FR"/>
        </w:rPr>
      </w:pPr>
      <w:r w:rsidRPr="000B10A2">
        <w:rPr>
          <w:b/>
          <w:bCs/>
          <w:i/>
          <w:iCs/>
          <w:color w:val="000000" w:themeColor="text1"/>
          <w:sz w:val="22"/>
          <w:szCs w:val="18"/>
          <w:lang w:eastAsia="fr-FR"/>
        </w:rPr>
        <w:t>Observation 1</w:t>
      </w:r>
      <w:r w:rsidRPr="000B10A2">
        <w:rPr>
          <w:i/>
          <w:iCs/>
          <w:color w:val="000000" w:themeColor="text1"/>
          <w:sz w:val="22"/>
          <w:szCs w:val="18"/>
          <w:lang w:eastAsia="fr-FR"/>
        </w:rPr>
        <w:t>: No further enhancements needed for Combination of “UE and gNB receive-transmit time difference measurements.</w:t>
      </w:r>
    </w:p>
    <w:p w14:paraId="43235EFA" w14:textId="77777777" w:rsidR="00931C4C" w:rsidRPr="00931C4C" w:rsidRDefault="00931C4C" w:rsidP="00931C4C">
      <w:pPr>
        <w:spacing w:after="120"/>
        <w:jc w:val="both"/>
        <w:rPr>
          <w:rFonts w:eastAsiaTheme="minorEastAsia"/>
          <w:i/>
          <w:iCs/>
          <w:sz w:val="22"/>
          <w:szCs w:val="22"/>
          <w:lang w:eastAsia="zh-CN"/>
        </w:rPr>
      </w:pPr>
      <w:r w:rsidRPr="00931C4C">
        <w:rPr>
          <w:rFonts w:eastAsiaTheme="minorEastAsia"/>
          <w:b/>
          <w:bCs/>
          <w:i/>
          <w:iCs/>
          <w:sz w:val="22"/>
          <w:szCs w:val="22"/>
          <w:lang w:eastAsia="zh-CN"/>
        </w:rPr>
        <w:t>Observation 2</w:t>
      </w:r>
      <w:r w:rsidRPr="00931C4C">
        <w:rPr>
          <w:rFonts w:eastAsiaTheme="minorEastAsia"/>
          <w:i/>
          <w:iCs/>
          <w:sz w:val="22"/>
          <w:szCs w:val="22"/>
          <w:lang w:eastAsia="zh-CN"/>
        </w:rPr>
        <w:t>: Existing E-CID method can be used to resolve mirror ambiguity without any additional impact for connected measurements, since these measurements are anyway needed for mobility.</w:t>
      </w:r>
    </w:p>
    <w:p w14:paraId="662046A1" w14:textId="77777777" w:rsidR="0054673E" w:rsidRPr="0054673E" w:rsidRDefault="0054673E" w:rsidP="0054673E">
      <w:pPr>
        <w:spacing w:after="120"/>
        <w:jc w:val="both"/>
        <w:rPr>
          <w:rFonts w:eastAsiaTheme="minorEastAsia"/>
          <w:i/>
          <w:iCs/>
          <w:sz w:val="22"/>
          <w:szCs w:val="22"/>
          <w:lang w:eastAsia="zh-CN"/>
        </w:rPr>
      </w:pPr>
      <w:r w:rsidRPr="0054673E">
        <w:rPr>
          <w:rFonts w:eastAsiaTheme="minorEastAsia"/>
          <w:b/>
          <w:bCs/>
          <w:i/>
          <w:iCs/>
          <w:sz w:val="22"/>
          <w:szCs w:val="22"/>
          <w:lang w:eastAsia="zh-CN"/>
        </w:rPr>
        <w:t>Observation 3</w:t>
      </w:r>
      <w:r w:rsidRPr="0054673E">
        <w:rPr>
          <w:rFonts w:eastAsiaTheme="minorEastAsia"/>
          <w:i/>
          <w:iCs/>
          <w:sz w:val="22"/>
          <w:szCs w:val="22"/>
          <w:lang w:eastAsia="zh-CN"/>
        </w:rPr>
        <w:t>: The network can determine which side of the orbital plane the UE is from the knowledge of the strongest neighbouring beams based on the neighbour RSRP measurement report.</w:t>
      </w:r>
    </w:p>
    <w:p w14:paraId="5363E8FC" w14:textId="77777777" w:rsidR="00A626CF" w:rsidRDefault="00A626CF" w:rsidP="00A626CF">
      <w:pPr>
        <w:spacing w:after="120"/>
        <w:jc w:val="both"/>
        <w:rPr>
          <w:i/>
          <w:iCs/>
          <w:color w:val="000000" w:themeColor="text1"/>
          <w:sz w:val="22"/>
          <w:szCs w:val="18"/>
          <w:lang w:eastAsia="fr-FR"/>
        </w:rPr>
      </w:pPr>
    </w:p>
    <w:p w14:paraId="4F100C9D" w14:textId="1FCD95FC" w:rsidR="00046037" w:rsidRPr="00046037" w:rsidRDefault="004D5E21" w:rsidP="00046037">
      <w:pPr>
        <w:pStyle w:val="Heading1"/>
        <w:jc w:val="both"/>
        <w:rPr>
          <w:rFonts w:ascii="Times New Roman" w:hAnsi="Times New Roman"/>
          <w:b/>
          <w:sz w:val="22"/>
          <w:szCs w:val="22"/>
        </w:rPr>
      </w:pPr>
      <w:r>
        <w:rPr>
          <w:rFonts w:ascii="Times New Roman" w:hAnsi="Times New Roman"/>
          <w:b/>
          <w:sz w:val="22"/>
          <w:szCs w:val="22"/>
        </w:rPr>
        <w:t>9</w:t>
      </w:r>
      <w:r w:rsidR="00046037">
        <w:rPr>
          <w:rFonts w:ascii="Times New Roman" w:hAnsi="Times New Roman"/>
          <w:b/>
          <w:sz w:val="22"/>
          <w:szCs w:val="22"/>
        </w:rPr>
        <w:t xml:space="preserve"> </w:t>
      </w:r>
      <w:r w:rsidR="00046037" w:rsidRPr="00046037">
        <w:rPr>
          <w:rFonts w:ascii="Times New Roman" w:hAnsi="Times New Roman"/>
          <w:b/>
          <w:sz w:val="22"/>
          <w:szCs w:val="22"/>
        </w:rPr>
        <w:t xml:space="preserve">Appendix </w:t>
      </w:r>
      <w:r w:rsidR="007A5DC6" w:rsidRPr="007A5DC6">
        <w:rPr>
          <w:rFonts w:ascii="Times New Roman" w:hAnsi="Times New Roman"/>
          <w:b/>
          <w:sz w:val="22"/>
          <w:szCs w:val="22"/>
        </w:rPr>
        <w:t>Multi-RTT positioning method for single satellite</w:t>
      </w:r>
    </w:p>
    <w:p w14:paraId="6B4DB05E" w14:textId="5BB98B41" w:rsidR="00046037" w:rsidRDefault="00046037" w:rsidP="005F2BBB">
      <w:pPr>
        <w:spacing w:after="120"/>
        <w:jc w:val="both"/>
        <w:rPr>
          <w:rFonts w:eastAsiaTheme="minorEastAsia"/>
          <w:sz w:val="22"/>
          <w:szCs w:val="22"/>
          <w:lang w:eastAsia="zh-CN"/>
        </w:rPr>
      </w:pPr>
    </w:p>
    <w:p w14:paraId="17FA7A91" w14:textId="72B014E0"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Multiple RTT method is illustrated in </w:t>
      </w:r>
      <w:r w:rsidR="00002D7B">
        <w:rPr>
          <w:rFonts w:eastAsiaTheme="minorEastAsia"/>
          <w:sz w:val="22"/>
          <w:szCs w:val="22"/>
          <w:lang w:eastAsia="zh-CN"/>
        </w:rPr>
        <w:t>2</w:t>
      </w:r>
      <w:r>
        <w:rPr>
          <w:rFonts w:eastAsiaTheme="minorEastAsia"/>
          <w:sz w:val="22"/>
          <w:szCs w:val="22"/>
          <w:lang w:eastAsia="zh-CN"/>
        </w:rPr>
        <w:t xml:space="preserve">. The RTT between UE and a single satellite to be determined at different times. The RTTs can be determined in two ways: </w:t>
      </w:r>
    </w:p>
    <w:p w14:paraId="7F3CCEC2"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gNB and UE based on UL and DL measurements respectively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w:t>
      </w:r>
    </w:p>
    <w:p w14:paraId="5AD4F09F" w14:textId="77777777" w:rsidR="007A5DC6" w:rsidRPr="007A5DC6" w:rsidRDefault="007A5DC6" w:rsidP="007A5DC6">
      <w:pPr>
        <w:pStyle w:val="ListParagraph"/>
        <w:numPr>
          <w:ilvl w:val="0"/>
          <w:numId w:val="19"/>
        </w:numPr>
        <w:tabs>
          <w:tab w:val="num" w:pos="360"/>
        </w:tabs>
        <w:spacing w:after="120"/>
        <w:ind w:leftChars="0"/>
        <w:jc w:val="both"/>
        <w:rPr>
          <w:rFonts w:eastAsiaTheme="minorEastAsia"/>
          <w:sz w:val="22"/>
          <w:szCs w:val="22"/>
          <w:lang w:eastAsia="zh-CN"/>
        </w:rPr>
      </w:pPr>
      <w:r w:rsidRPr="007A5DC6">
        <w:rPr>
          <w:rFonts w:eastAsiaTheme="minorEastAsia"/>
          <w:sz w:val="22"/>
          <w:szCs w:val="22"/>
          <w:lang w:eastAsia="zh-CN"/>
        </w:rPr>
        <w:t>by the UE using its location and the satellite ephemeris to calculate and report the UE-specific TA at time t</w:t>
      </w:r>
      <w:r w:rsidRPr="007A5DC6">
        <w:rPr>
          <w:rFonts w:eastAsiaTheme="minorEastAsia"/>
          <w:sz w:val="22"/>
          <w:szCs w:val="22"/>
          <w:vertAlign w:val="subscript"/>
          <w:lang w:eastAsia="zh-CN"/>
        </w:rPr>
        <w:t>0</w:t>
      </w:r>
      <w:r w:rsidRPr="007A5DC6">
        <w:rPr>
          <w:rFonts w:eastAsiaTheme="minorEastAsia"/>
          <w:sz w:val="22"/>
          <w:szCs w:val="22"/>
          <w:lang w:eastAsia="zh-CN"/>
        </w:rPr>
        <w:t>, t</w:t>
      </w:r>
      <w:r w:rsidRPr="007A5DC6">
        <w:rPr>
          <w:rFonts w:eastAsiaTheme="minorEastAsia"/>
          <w:sz w:val="22"/>
          <w:szCs w:val="22"/>
          <w:vertAlign w:val="subscript"/>
          <w:lang w:eastAsia="zh-CN"/>
        </w:rPr>
        <w:t>1</w:t>
      </w:r>
      <w:r w:rsidRPr="007A5DC6">
        <w:rPr>
          <w:rFonts w:eastAsiaTheme="minorEastAsia"/>
          <w:sz w:val="22"/>
          <w:szCs w:val="22"/>
          <w:lang w:eastAsia="zh-CN"/>
        </w:rPr>
        <w:t>, t</w:t>
      </w:r>
      <w:r w:rsidRPr="007A5DC6">
        <w:rPr>
          <w:rFonts w:eastAsiaTheme="minorEastAsia"/>
          <w:sz w:val="22"/>
          <w:szCs w:val="22"/>
          <w:vertAlign w:val="subscript"/>
          <w:lang w:eastAsia="zh-CN"/>
        </w:rPr>
        <w:t>2</w:t>
      </w:r>
      <w:r w:rsidRPr="007A5DC6">
        <w:rPr>
          <w:rFonts w:eastAsiaTheme="minorEastAsia"/>
          <w:sz w:val="22"/>
          <w:szCs w:val="22"/>
          <w:lang w:eastAsia="zh-CN"/>
        </w:rPr>
        <w:t>, t</w:t>
      </w:r>
      <w:r w:rsidRPr="007A5DC6">
        <w:rPr>
          <w:rFonts w:eastAsiaTheme="minorEastAsia"/>
          <w:sz w:val="22"/>
          <w:szCs w:val="22"/>
          <w:vertAlign w:val="subscript"/>
          <w:lang w:eastAsia="zh-CN"/>
        </w:rPr>
        <w:t>3</w:t>
      </w:r>
      <w:r w:rsidRPr="007A5DC6">
        <w:rPr>
          <w:rFonts w:eastAsiaTheme="minorEastAsia"/>
          <w:sz w:val="22"/>
          <w:szCs w:val="22"/>
          <w:lang w:eastAsia="zh-CN"/>
        </w:rPr>
        <w:t xml:space="preserve"> as the UE Rx – Tx time difference T</w:t>
      </w:r>
      <w:r w:rsidRPr="007A5DC6">
        <w:rPr>
          <w:rFonts w:eastAsiaTheme="minorEastAsia"/>
          <w:sz w:val="22"/>
          <w:szCs w:val="22"/>
          <w:vertAlign w:val="subscript"/>
          <w:lang w:eastAsia="zh-CN"/>
        </w:rPr>
        <w:t>UE-RX</w:t>
      </w:r>
      <w:r w:rsidRPr="007A5DC6">
        <w:rPr>
          <w:rFonts w:eastAsiaTheme="minorEastAsia"/>
          <w:sz w:val="22"/>
          <w:szCs w:val="22"/>
          <w:lang w:eastAsia="zh-CN"/>
        </w:rPr>
        <w:t xml:space="preserve"> – T</w:t>
      </w:r>
      <w:r w:rsidRPr="007A5DC6">
        <w:rPr>
          <w:rFonts w:eastAsiaTheme="minorEastAsia"/>
          <w:sz w:val="22"/>
          <w:szCs w:val="22"/>
          <w:vertAlign w:val="subscript"/>
          <w:lang w:eastAsia="zh-CN"/>
        </w:rPr>
        <w:t xml:space="preserve">UE-TX. </w:t>
      </w:r>
      <w:r w:rsidRPr="007A5DC6">
        <w:rPr>
          <w:rFonts w:eastAsiaTheme="minorEastAsia"/>
          <w:sz w:val="22"/>
          <w:szCs w:val="22"/>
          <w:lang w:eastAsia="zh-CN"/>
        </w:rPr>
        <w:t xml:space="preserve">The legacy multi-RTT report mechanisms can be re-used with the UE Rx – Tx time difference set to the Timing Advance as calculated at the UE, instead of using DL PRS measurements.  </w:t>
      </w:r>
    </w:p>
    <w:p w14:paraId="361FDF40" w14:textId="77777777" w:rsidR="007A5DC6" w:rsidRDefault="007A5DC6" w:rsidP="007A5DC6">
      <w:pPr>
        <w:spacing w:after="120"/>
        <w:jc w:val="both"/>
        <w:rPr>
          <w:rFonts w:eastAsiaTheme="minorEastAsia"/>
          <w:sz w:val="22"/>
          <w:szCs w:val="22"/>
          <w:lang w:eastAsia="zh-CN"/>
        </w:rPr>
      </w:pPr>
      <w:r>
        <w:rPr>
          <w:rFonts w:eastAsiaTheme="minorEastAsia"/>
          <w:sz w:val="22"/>
          <w:szCs w:val="22"/>
          <w:lang w:eastAsia="zh-CN"/>
        </w:rPr>
        <w:t xml:space="preserve">The serving gNB measures its gNB Rx-Tx time difference from UE SRS transmission on UL. The UE reports its UE Rx-Tx time difference from DL PRS. Since the SRS needs to be transmitted within the RAN4 timing error requirement of 24.Ts, the UE-specific TA needs to be applied by the UE before transmission of SRS. The measured timing difference at gNB and at UE are used by the core network Location Management Function (LMF) to verify the UE location. </w:t>
      </w:r>
    </w:p>
    <w:p w14:paraId="05C3AC9E" w14:textId="08F3A065" w:rsidR="007A5DC6" w:rsidRDefault="007A5DC6" w:rsidP="007A5DC6">
      <w:pPr>
        <w:spacing w:after="120"/>
        <w:jc w:val="center"/>
        <w:rPr>
          <w:rFonts w:eastAsiaTheme="minorEastAsia"/>
          <w:sz w:val="22"/>
          <w:szCs w:val="22"/>
          <w:lang w:eastAsia="zh-CN"/>
        </w:rPr>
      </w:pPr>
      <w:r>
        <w:rPr>
          <w:noProof/>
        </w:rPr>
        <w:lastRenderedPageBreak/>
        <mc:AlternateContent>
          <mc:Choice Requires="wps">
            <w:drawing>
              <wp:anchor distT="45720" distB="45720" distL="114300" distR="114300" simplePos="0" relativeHeight="251684864" behindDoc="0" locked="0" layoutInCell="1" allowOverlap="1" wp14:anchorId="4C1D44AF" wp14:editId="78C71814">
                <wp:simplePos x="0" y="0"/>
                <wp:positionH relativeFrom="column">
                  <wp:posOffset>1447165</wp:posOffset>
                </wp:positionH>
                <wp:positionV relativeFrom="paragraph">
                  <wp:posOffset>184150</wp:posOffset>
                </wp:positionV>
                <wp:extent cx="2781935" cy="2035810"/>
                <wp:effectExtent l="0" t="0" r="18415" b="2159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D44AF" id="Text Box 5" o:spid="_x0000_s1027" type="#_x0000_t202" style="position:absolute;left:0;text-align:left;margin-left:113.95pt;margin-top:14.5pt;width:219.05pt;height:160.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">
                <v:textbox>
                  <w:txbxContent>
                    <w:p w14:paraId="5F1581C4" w14:textId="5C1841C0" w:rsidR="007A5DC6" w:rsidRDefault="007A5DC6" w:rsidP="007A5DC6">
                      <w:r>
                        <w:rPr>
                          <w:rFonts w:asciiTheme="minorHAnsi" w:eastAsiaTheme="minorEastAsia" w:hAnsiTheme="minorHAnsi" w:cstheme="minorBidi"/>
                          <w:noProof/>
                          <w:sz w:val="20"/>
                          <w:lang w:eastAsia="en-GB"/>
                        </w:rPr>
                        <w:drawing>
                          <wp:inline distT="0" distB="0" distL="0" distR="0" wp14:anchorId="19E0C5EB" wp14:editId="3383A330">
                            <wp:extent cx="2693670" cy="192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3670" cy="1924050"/>
                                    </a:xfrm>
                                    <a:prstGeom prst="rect">
                                      <a:avLst/>
                                    </a:prstGeom>
                                    <a:noFill/>
                                    <a:ln>
                                      <a:noFill/>
                                    </a:ln>
                                  </pic:spPr>
                                </pic:pic>
                              </a:graphicData>
                            </a:graphic>
                          </wp:inline>
                        </w:drawing>
                      </w:r>
                    </w:p>
                  </w:txbxContent>
                </v:textbox>
                <w10:wrap type="square"/>
              </v:shape>
            </w:pict>
          </mc:Fallback>
        </mc:AlternateContent>
      </w:r>
    </w:p>
    <w:p w14:paraId="3EC1EEDB" w14:textId="77777777" w:rsidR="007A5DC6" w:rsidRDefault="007A5DC6" w:rsidP="007A5DC6">
      <w:pPr>
        <w:spacing w:after="120"/>
        <w:jc w:val="center"/>
        <w:rPr>
          <w:rFonts w:eastAsiaTheme="minorEastAsia"/>
          <w:sz w:val="22"/>
          <w:szCs w:val="22"/>
          <w:lang w:eastAsia="zh-CN"/>
        </w:rPr>
      </w:pPr>
    </w:p>
    <w:p w14:paraId="30F53003" w14:textId="77777777" w:rsidR="007A5DC6" w:rsidRDefault="007A5DC6" w:rsidP="007A5DC6">
      <w:pPr>
        <w:spacing w:after="120"/>
        <w:jc w:val="center"/>
        <w:rPr>
          <w:rFonts w:eastAsiaTheme="minorEastAsia"/>
          <w:sz w:val="22"/>
          <w:szCs w:val="22"/>
          <w:lang w:eastAsia="zh-CN"/>
        </w:rPr>
      </w:pPr>
    </w:p>
    <w:p w14:paraId="493F9E82" w14:textId="77777777" w:rsidR="007A5DC6" w:rsidRDefault="007A5DC6" w:rsidP="007A5DC6">
      <w:pPr>
        <w:spacing w:after="120"/>
        <w:jc w:val="center"/>
        <w:rPr>
          <w:rFonts w:eastAsiaTheme="minorEastAsia"/>
          <w:sz w:val="22"/>
          <w:szCs w:val="22"/>
          <w:lang w:eastAsia="zh-CN"/>
        </w:rPr>
      </w:pPr>
    </w:p>
    <w:p w14:paraId="28B0BCA4" w14:textId="77777777" w:rsidR="007A5DC6" w:rsidRDefault="007A5DC6" w:rsidP="007A5DC6">
      <w:pPr>
        <w:spacing w:after="120"/>
        <w:jc w:val="center"/>
        <w:rPr>
          <w:rFonts w:eastAsiaTheme="minorEastAsia"/>
          <w:sz w:val="22"/>
          <w:szCs w:val="22"/>
          <w:lang w:eastAsia="zh-CN"/>
        </w:rPr>
      </w:pPr>
    </w:p>
    <w:p w14:paraId="1F41AA22" w14:textId="77777777" w:rsidR="007A5DC6" w:rsidRDefault="007A5DC6" w:rsidP="007A5DC6">
      <w:pPr>
        <w:spacing w:after="120"/>
        <w:jc w:val="center"/>
        <w:rPr>
          <w:rFonts w:eastAsiaTheme="minorEastAsia"/>
          <w:sz w:val="22"/>
          <w:szCs w:val="22"/>
          <w:lang w:eastAsia="zh-CN"/>
        </w:rPr>
      </w:pPr>
    </w:p>
    <w:p w14:paraId="3528A9ED" w14:textId="77777777" w:rsidR="007A5DC6" w:rsidRDefault="007A5DC6" w:rsidP="007A5DC6">
      <w:pPr>
        <w:spacing w:after="120"/>
        <w:jc w:val="center"/>
        <w:rPr>
          <w:rFonts w:eastAsiaTheme="minorEastAsia"/>
          <w:sz w:val="22"/>
          <w:szCs w:val="22"/>
          <w:lang w:eastAsia="zh-CN"/>
        </w:rPr>
      </w:pPr>
    </w:p>
    <w:p w14:paraId="740BBF30" w14:textId="77777777" w:rsidR="007A5DC6" w:rsidRDefault="007A5DC6" w:rsidP="007A5DC6">
      <w:pPr>
        <w:spacing w:after="120"/>
        <w:jc w:val="center"/>
        <w:rPr>
          <w:rFonts w:eastAsiaTheme="minorEastAsia"/>
          <w:sz w:val="22"/>
          <w:szCs w:val="22"/>
          <w:lang w:eastAsia="zh-CN"/>
        </w:rPr>
      </w:pPr>
    </w:p>
    <w:p w14:paraId="01B28954" w14:textId="77777777" w:rsidR="007A5DC6" w:rsidRDefault="007A5DC6" w:rsidP="007A5DC6">
      <w:pPr>
        <w:spacing w:after="120"/>
        <w:jc w:val="center"/>
        <w:rPr>
          <w:rFonts w:eastAsiaTheme="minorEastAsia"/>
          <w:sz w:val="22"/>
          <w:szCs w:val="22"/>
          <w:lang w:eastAsia="zh-CN"/>
        </w:rPr>
      </w:pPr>
    </w:p>
    <w:p w14:paraId="394B1CC7" w14:textId="77777777" w:rsidR="007A5DC6" w:rsidRDefault="007A5DC6" w:rsidP="007A5DC6">
      <w:pPr>
        <w:spacing w:after="120"/>
        <w:jc w:val="center"/>
        <w:rPr>
          <w:rFonts w:eastAsiaTheme="minorEastAsia"/>
          <w:sz w:val="22"/>
          <w:szCs w:val="22"/>
          <w:lang w:eastAsia="zh-CN"/>
        </w:rPr>
      </w:pPr>
    </w:p>
    <w:p w14:paraId="119BE028" w14:textId="0A68B3CD" w:rsidR="007A5DC6" w:rsidRDefault="007A5DC6" w:rsidP="007A5DC6">
      <w:pPr>
        <w:jc w:val="center"/>
        <w:rPr>
          <w:color w:val="000000" w:themeColor="text1"/>
          <w:sz w:val="22"/>
          <w:szCs w:val="22"/>
        </w:rPr>
      </w:pPr>
      <w:r>
        <w:rPr>
          <w:color w:val="000000" w:themeColor="text1"/>
          <w:sz w:val="22"/>
          <w:szCs w:val="22"/>
        </w:rPr>
        <w:t xml:space="preserve">Figure </w:t>
      </w:r>
      <w:r w:rsidR="00002D7B">
        <w:t>2</w:t>
      </w:r>
      <w:r>
        <w:rPr>
          <w:color w:val="000000" w:themeColor="text1"/>
          <w:sz w:val="22"/>
          <w:szCs w:val="22"/>
        </w:rPr>
        <w:t xml:space="preserve"> Multiple RTT positioning with single satellite</w:t>
      </w:r>
    </w:p>
    <w:p w14:paraId="18A3A852" w14:textId="77777777" w:rsidR="007A5DC6" w:rsidRDefault="007A5DC6" w:rsidP="005F2BBB">
      <w:pPr>
        <w:spacing w:after="120"/>
        <w:jc w:val="both"/>
        <w:rPr>
          <w:rFonts w:eastAsiaTheme="minorEastAsia"/>
          <w:sz w:val="22"/>
          <w:szCs w:val="22"/>
          <w:lang w:eastAsia="zh-CN"/>
        </w:rPr>
      </w:pPr>
    </w:p>
    <w:p w14:paraId="51CC63C8" w14:textId="519E7324" w:rsidR="005F2BBB" w:rsidRPr="00DB5A44" w:rsidRDefault="004D5E21" w:rsidP="005F2BBB">
      <w:pPr>
        <w:pStyle w:val="Heading1"/>
        <w:ind w:left="432" w:hanging="432"/>
        <w:rPr>
          <w:rFonts w:ascii="Times New Roman" w:hAnsi="Times New Roman"/>
          <w:b/>
          <w:bCs/>
          <w:sz w:val="22"/>
          <w:szCs w:val="22"/>
        </w:rPr>
      </w:pPr>
      <w:bookmarkStart w:id="5" w:name="_Ref124589665"/>
      <w:bookmarkStart w:id="6" w:name="_Ref71620620"/>
      <w:bookmarkStart w:id="7" w:name="_Ref124671424"/>
      <w:r>
        <w:rPr>
          <w:rFonts w:ascii="Times New Roman" w:hAnsi="Times New Roman"/>
          <w:b/>
          <w:bCs/>
          <w:sz w:val="22"/>
          <w:szCs w:val="22"/>
        </w:rPr>
        <w:t>10</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5"/>
      <w:bookmarkEnd w:id="6"/>
      <w:bookmarkEnd w:id="7"/>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r w:rsidR="00C109FD">
        <w:rPr>
          <w:rFonts w:eastAsia="SimSun"/>
          <w:sz w:val="22"/>
          <w:szCs w:val="22"/>
          <w:lang w:val="en-US" w:eastAsia="zh-CN"/>
        </w:rPr>
        <w:t>December</w:t>
      </w:r>
      <w:r w:rsidRPr="00EF081C">
        <w:rPr>
          <w:rFonts w:eastAsia="SimSun"/>
          <w:sz w:val="22"/>
          <w:szCs w:val="22"/>
          <w:lang w:val="en-US" w:eastAsia="zh-CN"/>
        </w:rPr>
        <w:t>,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5689" w14:textId="77777777" w:rsidR="00D21E39" w:rsidRDefault="00D21E39" w:rsidP="005F2BBB">
      <w:r>
        <w:separator/>
      </w:r>
    </w:p>
  </w:endnote>
  <w:endnote w:type="continuationSeparator" w:id="0">
    <w:p w14:paraId="5035B602" w14:textId="77777777" w:rsidR="00D21E39" w:rsidRDefault="00D21E3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1E0D" w14:textId="77777777" w:rsidR="00D21E39" w:rsidRDefault="00D21E39" w:rsidP="005F2BBB">
      <w:r>
        <w:separator/>
      </w:r>
    </w:p>
  </w:footnote>
  <w:footnote w:type="continuationSeparator" w:id="0">
    <w:p w14:paraId="2451788A" w14:textId="77777777" w:rsidR="00D21E39" w:rsidRDefault="00D21E3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0B26E2"/>
    <w:multiLevelType w:val="multilevel"/>
    <w:tmpl w:val="CD4E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807F16"/>
    <w:multiLevelType w:val="multilevel"/>
    <w:tmpl w:val="1BE4715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A3390C"/>
    <w:multiLevelType w:val="hybridMultilevel"/>
    <w:tmpl w:val="762CE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661ED"/>
    <w:multiLevelType w:val="hybridMultilevel"/>
    <w:tmpl w:val="34866E0C"/>
    <w:lvl w:ilvl="0" w:tplc="462EC2AE">
      <w:start w:val="1"/>
      <w:numFmt w:val="bullet"/>
      <w:lvlText w:val=""/>
      <w:lvlJc w:val="left"/>
      <w:pPr>
        <w:tabs>
          <w:tab w:val="num" w:pos="720"/>
        </w:tabs>
        <w:ind w:left="720" w:hanging="360"/>
      </w:pPr>
      <w:rPr>
        <w:rFonts w:ascii="Symbol" w:hAnsi="Symbol" w:hint="default"/>
      </w:rPr>
    </w:lvl>
    <w:lvl w:ilvl="1" w:tplc="48625470" w:tentative="1">
      <w:start w:val="1"/>
      <w:numFmt w:val="bullet"/>
      <w:lvlText w:val=""/>
      <w:lvlJc w:val="left"/>
      <w:pPr>
        <w:tabs>
          <w:tab w:val="num" w:pos="1440"/>
        </w:tabs>
        <w:ind w:left="1440" w:hanging="360"/>
      </w:pPr>
      <w:rPr>
        <w:rFonts w:ascii="Symbol" w:hAnsi="Symbol" w:hint="default"/>
      </w:rPr>
    </w:lvl>
    <w:lvl w:ilvl="2" w:tplc="AA8E90C0" w:tentative="1">
      <w:start w:val="1"/>
      <w:numFmt w:val="bullet"/>
      <w:lvlText w:val=""/>
      <w:lvlJc w:val="left"/>
      <w:pPr>
        <w:tabs>
          <w:tab w:val="num" w:pos="2160"/>
        </w:tabs>
        <w:ind w:left="2160" w:hanging="360"/>
      </w:pPr>
      <w:rPr>
        <w:rFonts w:ascii="Symbol" w:hAnsi="Symbol" w:hint="default"/>
      </w:rPr>
    </w:lvl>
    <w:lvl w:ilvl="3" w:tplc="79BC9CB0" w:tentative="1">
      <w:start w:val="1"/>
      <w:numFmt w:val="bullet"/>
      <w:lvlText w:val=""/>
      <w:lvlJc w:val="left"/>
      <w:pPr>
        <w:tabs>
          <w:tab w:val="num" w:pos="2880"/>
        </w:tabs>
        <w:ind w:left="2880" w:hanging="360"/>
      </w:pPr>
      <w:rPr>
        <w:rFonts w:ascii="Symbol" w:hAnsi="Symbol" w:hint="default"/>
      </w:rPr>
    </w:lvl>
    <w:lvl w:ilvl="4" w:tplc="9AECC034" w:tentative="1">
      <w:start w:val="1"/>
      <w:numFmt w:val="bullet"/>
      <w:lvlText w:val=""/>
      <w:lvlJc w:val="left"/>
      <w:pPr>
        <w:tabs>
          <w:tab w:val="num" w:pos="3600"/>
        </w:tabs>
        <w:ind w:left="3600" w:hanging="360"/>
      </w:pPr>
      <w:rPr>
        <w:rFonts w:ascii="Symbol" w:hAnsi="Symbol" w:hint="default"/>
      </w:rPr>
    </w:lvl>
    <w:lvl w:ilvl="5" w:tplc="22E4CE12" w:tentative="1">
      <w:start w:val="1"/>
      <w:numFmt w:val="bullet"/>
      <w:lvlText w:val=""/>
      <w:lvlJc w:val="left"/>
      <w:pPr>
        <w:tabs>
          <w:tab w:val="num" w:pos="4320"/>
        </w:tabs>
        <w:ind w:left="4320" w:hanging="360"/>
      </w:pPr>
      <w:rPr>
        <w:rFonts w:ascii="Symbol" w:hAnsi="Symbol" w:hint="default"/>
      </w:rPr>
    </w:lvl>
    <w:lvl w:ilvl="6" w:tplc="13CA8984" w:tentative="1">
      <w:start w:val="1"/>
      <w:numFmt w:val="bullet"/>
      <w:lvlText w:val=""/>
      <w:lvlJc w:val="left"/>
      <w:pPr>
        <w:tabs>
          <w:tab w:val="num" w:pos="5040"/>
        </w:tabs>
        <w:ind w:left="5040" w:hanging="360"/>
      </w:pPr>
      <w:rPr>
        <w:rFonts w:ascii="Symbol" w:hAnsi="Symbol" w:hint="default"/>
      </w:rPr>
    </w:lvl>
    <w:lvl w:ilvl="7" w:tplc="21F05C98" w:tentative="1">
      <w:start w:val="1"/>
      <w:numFmt w:val="bullet"/>
      <w:lvlText w:val=""/>
      <w:lvlJc w:val="left"/>
      <w:pPr>
        <w:tabs>
          <w:tab w:val="num" w:pos="5760"/>
        </w:tabs>
        <w:ind w:left="5760" w:hanging="360"/>
      </w:pPr>
      <w:rPr>
        <w:rFonts w:ascii="Symbol" w:hAnsi="Symbol" w:hint="default"/>
      </w:rPr>
    </w:lvl>
    <w:lvl w:ilvl="8" w:tplc="C102E93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36992"/>
    <w:multiLevelType w:val="multilevel"/>
    <w:tmpl w:val="BABAF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C0540F"/>
    <w:multiLevelType w:val="hybridMultilevel"/>
    <w:tmpl w:val="FF66B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97B63"/>
    <w:multiLevelType w:val="hybridMultilevel"/>
    <w:tmpl w:val="CD7A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AE20E2"/>
    <w:multiLevelType w:val="hybridMultilevel"/>
    <w:tmpl w:val="4B22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FC096C"/>
    <w:multiLevelType w:val="hybridMultilevel"/>
    <w:tmpl w:val="6F1E2A5C"/>
    <w:lvl w:ilvl="0" w:tplc="511C1550">
      <w:start w:val="1"/>
      <w:numFmt w:val="bullet"/>
      <w:lvlText w:val=""/>
      <w:lvlJc w:val="left"/>
      <w:pPr>
        <w:tabs>
          <w:tab w:val="num" w:pos="720"/>
        </w:tabs>
        <w:ind w:left="720" w:hanging="360"/>
      </w:pPr>
      <w:rPr>
        <w:rFonts w:ascii="Symbol" w:hAnsi="Symbol" w:hint="default"/>
      </w:rPr>
    </w:lvl>
    <w:lvl w:ilvl="1" w:tplc="1C040FB8" w:tentative="1">
      <w:start w:val="1"/>
      <w:numFmt w:val="bullet"/>
      <w:lvlText w:val=""/>
      <w:lvlJc w:val="left"/>
      <w:pPr>
        <w:tabs>
          <w:tab w:val="num" w:pos="1440"/>
        </w:tabs>
        <w:ind w:left="1440" w:hanging="360"/>
      </w:pPr>
      <w:rPr>
        <w:rFonts w:ascii="Symbol" w:hAnsi="Symbol" w:hint="default"/>
      </w:rPr>
    </w:lvl>
    <w:lvl w:ilvl="2" w:tplc="8CE6D632" w:tentative="1">
      <w:start w:val="1"/>
      <w:numFmt w:val="bullet"/>
      <w:lvlText w:val=""/>
      <w:lvlJc w:val="left"/>
      <w:pPr>
        <w:tabs>
          <w:tab w:val="num" w:pos="2160"/>
        </w:tabs>
        <w:ind w:left="2160" w:hanging="360"/>
      </w:pPr>
      <w:rPr>
        <w:rFonts w:ascii="Symbol" w:hAnsi="Symbol" w:hint="default"/>
      </w:rPr>
    </w:lvl>
    <w:lvl w:ilvl="3" w:tplc="F8B4CEB2" w:tentative="1">
      <w:start w:val="1"/>
      <w:numFmt w:val="bullet"/>
      <w:lvlText w:val=""/>
      <w:lvlJc w:val="left"/>
      <w:pPr>
        <w:tabs>
          <w:tab w:val="num" w:pos="2880"/>
        </w:tabs>
        <w:ind w:left="2880" w:hanging="360"/>
      </w:pPr>
      <w:rPr>
        <w:rFonts w:ascii="Symbol" w:hAnsi="Symbol" w:hint="default"/>
      </w:rPr>
    </w:lvl>
    <w:lvl w:ilvl="4" w:tplc="06F070BE" w:tentative="1">
      <w:start w:val="1"/>
      <w:numFmt w:val="bullet"/>
      <w:lvlText w:val=""/>
      <w:lvlJc w:val="left"/>
      <w:pPr>
        <w:tabs>
          <w:tab w:val="num" w:pos="3600"/>
        </w:tabs>
        <w:ind w:left="3600" w:hanging="360"/>
      </w:pPr>
      <w:rPr>
        <w:rFonts w:ascii="Symbol" w:hAnsi="Symbol" w:hint="default"/>
      </w:rPr>
    </w:lvl>
    <w:lvl w:ilvl="5" w:tplc="9E1C2D3C" w:tentative="1">
      <w:start w:val="1"/>
      <w:numFmt w:val="bullet"/>
      <w:lvlText w:val=""/>
      <w:lvlJc w:val="left"/>
      <w:pPr>
        <w:tabs>
          <w:tab w:val="num" w:pos="4320"/>
        </w:tabs>
        <w:ind w:left="4320" w:hanging="360"/>
      </w:pPr>
      <w:rPr>
        <w:rFonts w:ascii="Symbol" w:hAnsi="Symbol" w:hint="default"/>
      </w:rPr>
    </w:lvl>
    <w:lvl w:ilvl="6" w:tplc="A0428CDE" w:tentative="1">
      <w:start w:val="1"/>
      <w:numFmt w:val="bullet"/>
      <w:lvlText w:val=""/>
      <w:lvlJc w:val="left"/>
      <w:pPr>
        <w:tabs>
          <w:tab w:val="num" w:pos="5040"/>
        </w:tabs>
        <w:ind w:left="5040" w:hanging="360"/>
      </w:pPr>
      <w:rPr>
        <w:rFonts w:ascii="Symbol" w:hAnsi="Symbol" w:hint="default"/>
      </w:rPr>
    </w:lvl>
    <w:lvl w:ilvl="7" w:tplc="B56A386C" w:tentative="1">
      <w:start w:val="1"/>
      <w:numFmt w:val="bullet"/>
      <w:lvlText w:val=""/>
      <w:lvlJc w:val="left"/>
      <w:pPr>
        <w:tabs>
          <w:tab w:val="num" w:pos="5760"/>
        </w:tabs>
        <w:ind w:left="5760" w:hanging="360"/>
      </w:pPr>
      <w:rPr>
        <w:rFonts w:ascii="Symbol" w:hAnsi="Symbol" w:hint="default"/>
      </w:rPr>
    </w:lvl>
    <w:lvl w:ilvl="8" w:tplc="FE22FC1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FA763E"/>
    <w:multiLevelType w:val="multilevel"/>
    <w:tmpl w:val="14B612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210847"/>
    <w:multiLevelType w:val="hybridMultilevel"/>
    <w:tmpl w:val="18549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F959BA"/>
    <w:multiLevelType w:val="hybridMultilevel"/>
    <w:tmpl w:val="D68C6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B71A1F"/>
    <w:multiLevelType w:val="multilevel"/>
    <w:tmpl w:val="BEDA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5232BC"/>
    <w:multiLevelType w:val="hybridMultilevel"/>
    <w:tmpl w:val="4850A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23509"/>
    <w:multiLevelType w:val="hybridMultilevel"/>
    <w:tmpl w:val="923EE8B8"/>
    <w:lvl w:ilvl="0" w:tplc="87EAB5C2">
      <w:start w:val="1"/>
      <w:numFmt w:val="bullet"/>
      <w:lvlText w:val=""/>
      <w:lvlJc w:val="left"/>
      <w:pPr>
        <w:tabs>
          <w:tab w:val="num" w:pos="720"/>
        </w:tabs>
        <w:ind w:left="720" w:hanging="360"/>
      </w:pPr>
      <w:rPr>
        <w:rFonts w:ascii="Symbol" w:hAnsi="Symbol" w:hint="default"/>
      </w:rPr>
    </w:lvl>
    <w:lvl w:ilvl="1" w:tplc="462463B6" w:tentative="1">
      <w:start w:val="1"/>
      <w:numFmt w:val="bullet"/>
      <w:lvlText w:val=""/>
      <w:lvlJc w:val="left"/>
      <w:pPr>
        <w:tabs>
          <w:tab w:val="num" w:pos="1440"/>
        </w:tabs>
        <w:ind w:left="1440" w:hanging="360"/>
      </w:pPr>
      <w:rPr>
        <w:rFonts w:ascii="Symbol" w:hAnsi="Symbol" w:hint="default"/>
      </w:rPr>
    </w:lvl>
    <w:lvl w:ilvl="2" w:tplc="D5D60D64" w:tentative="1">
      <w:start w:val="1"/>
      <w:numFmt w:val="bullet"/>
      <w:lvlText w:val=""/>
      <w:lvlJc w:val="left"/>
      <w:pPr>
        <w:tabs>
          <w:tab w:val="num" w:pos="2160"/>
        </w:tabs>
        <w:ind w:left="2160" w:hanging="360"/>
      </w:pPr>
      <w:rPr>
        <w:rFonts w:ascii="Symbol" w:hAnsi="Symbol" w:hint="default"/>
      </w:rPr>
    </w:lvl>
    <w:lvl w:ilvl="3" w:tplc="10CCCEE4" w:tentative="1">
      <w:start w:val="1"/>
      <w:numFmt w:val="bullet"/>
      <w:lvlText w:val=""/>
      <w:lvlJc w:val="left"/>
      <w:pPr>
        <w:tabs>
          <w:tab w:val="num" w:pos="2880"/>
        </w:tabs>
        <w:ind w:left="2880" w:hanging="360"/>
      </w:pPr>
      <w:rPr>
        <w:rFonts w:ascii="Symbol" w:hAnsi="Symbol" w:hint="default"/>
      </w:rPr>
    </w:lvl>
    <w:lvl w:ilvl="4" w:tplc="7F963C18" w:tentative="1">
      <w:start w:val="1"/>
      <w:numFmt w:val="bullet"/>
      <w:lvlText w:val=""/>
      <w:lvlJc w:val="left"/>
      <w:pPr>
        <w:tabs>
          <w:tab w:val="num" w:pos="3600"/>
        </w:tabs>
        <w:ind w:left="3600" w:hanging="360"/>
      </w:pPr>
      <w:rPr>
        <w:rFonts w:ascii="Symbol" w:hAnsi="Symbol" w:hint="default"/>
      </w:rPr>
    </w:lvl>
    <w:lvl w:ilvl="5" w:tplc="AE6C18A6" w:tentative="1">
      <w:start w:val="1"/>
      <w:numFmt w:val="bullet"/>
      <w:lvlText w:val=""/>
      <w:lvlJc w:val="left"/>
      <w:pPr>
        <w:tabs>
          <w:tab w:val="num" w:pos="4320"/>
        </w:tabs>
        <w:ind w:left="4320" w:hanging="360"/>
      </w:pPr>
      <w:rPr>
        <w:rFonts w:ascii="Symbol" w:hAnsi="Symbol" w:hint="default"/>
      </w:rPr>
    </w:lvl>
    <w:lvl w:ilvl="6" w:tplc="099AB0E6" w:tentative="1">
      <w:start w:val="1"/>
      <w:numFmt w:val="bullet"/>
      <w:lvlText w:val=""/>
      <w:lvlJc w:val="left"/>
      <w:pPr>
        <w:tabs>
          <w:tab w:val="num" w:pos="5040"/>
        </w:tabs>
        <w:ind w:left="5040" w:hanging="360"/>
      </w:pPr>
      <w:rPr>
        <w:rFonts w:ascii="Symbol" w:hAnsi="Symbol" w:hint="default"/>
      </w:rPr>
    </w:lvl>
    <w:lvl w:ilvl="7" w:tplc="FC60A134" w:tentative="1">
      <w:start w:val="1"/>
      <w:numFmt w:val="bullet"/>
      <w:lvlText w:val=""/>
      <w:lvlJc w:val="left"/>
      <w:pPr>
        <w:tabs>
          <w:tab w:val="num" w:pos="5760"/>
        </w:tabs>
        <w:ind w:left="5760" w:hanging="360"/>
      </w:pPr>
      <w:rPr>
        <w:rFonts w:ascii="Symbol" w:hAnsi="Symbol" w:hint="default"/>
      </w:rPr>
    </w:lvl>
    <w:lvl w:ilvl="8" w:tplc="BF469A5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757292"/>
    <w:multiLevelType w:val="hybridMultilevel"/>
    <w:tmpl w:val="4F306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94D03"/>
    <w:multiLevelType w:val="hybridMultilevel"/>
    <w:tmpl w:val="9A60BCBC"/>
    <w:lvl w:ilvl="0" w:tplc="843C655A">
      <w:start w:val="1"/>
      <w:numFmt w:val="bullet"/>
      <w:lvlText w:val="•"/>
      <w:lvlJc w:val="left"/>
      <w:pPr>
        <w:tabs>
          <w:tab w:val="num" w:pos="720"/>
        </w:tabs>
        <w:ind w:left="720" w:hanging="360"/>
      </w:pPr>
      <w:rPr>
        <w:rFonts w:ascii="Arial" w:hAnsi="Arial" w:hint="default"/>
      </w:rPr>
    </w:lvl>
    <w:lvl w:ilvl="1" w:tplc="CCDE18C8">
      <w:numFmt w:val="bullet"/>
      <w:lvlText w:val="•"/>
      <w:lvlJc w:val="left"/>
      <w:pPr>
        <w:tabs>
          <w:tab w:val="num" w:pos="1440"/>
        </w:tabs>
        <w:ind w:left="1440" w:hanging="360"/>
      </w:pPr>
      <w:rPr>
        <w:rFonts w:ascii="Arial" w:hAnsi="Arial" w:hint="default"/>
      </w:rPr>
    </w:lvl>
    <w:lvl w:ilvl="2" w:tplc="35869EF4">
      <w:numFmt w:val="bullet"/>
      <w:lvlText w:val="•"/>
      <w:lvlJc w:val="left"/>
      <w:pPr>
        <w:tabs>
          <w:tab w:val="num" w:pos="2160"/>
        </w:tabs>
        <w:ind w:left="2160" w:hanging="360"/>
      </w:pPr>
      <w:rPr>
        <w:rFonts w:ascii="Arial" w:hAnsi="Arial" w:hint="default"/>
      </w:rPr>
    </w:lvl>
    <w:lvl w:ilvl="3" w:tplc="6232703C" w:tentative="1">
      <w:start w:val="1"/>
      <w:numFmt w:val="bullet"/>
      <w:lvlText w:val="•"/>
      <w:lvlJc w:val="left"/>
      <w:pPr>
        <w:tabs>
          <w:tab w:val="num" w:pos="2880"/>
        </w:tabs>
        <w:ind w:left="2880" w:hanging="360"/>
      </w:pPr>
      <w:rPr>
        <w:rFonts w:ascii="Arial" w:hAnsi="Arial" w:hint="default"/>
      </w:rPr>
    </w:lvl>
    <w:lvl w:ilvl="4" w:tplc="4A982FDE" w:tentative="1">
      <w:start w:val="1"/>
      <w:numFmt w:val="bullet"/>
      <w:lvlText w:val="•"/>
      <w:lvlJc w:val="left"/>
      <w:pPr>
        <w:tabs>
          <w:tab w:val="num" w:pos="3600"/>
        </w:tabs>
        <w:ind w:left="3600" w:hanging="360"/>
      </w:pPr>
      <w:rPr>
        <w:rFonts w:ascii="Arial" w:hAnsi="Arial" w:hint="default"/>
      </w:rPr>
    </w:lvl>
    <w:lvl w:ilvl="5" w:tplc="E18C7B32" w:tentative="1">
      <w:start w:val="1"/>
      <w:numFmt w:val="bullet"/>
      <w:lvlText w:val="•"/>
      <w:lvlJc w:val="left"/>
      <w:pPr>
        <w:tabs>
          <w:tab w:val="num" w:pos="4320"/>
        </w:tabs>
        <w:ind w:left="4320" w:hanging="360"/>
      </w:pPr>
      <w:rPr>
        <w:rFonts w:ascii="Arial" w:hAnsi="Arial" w:hint="default"/>
      </w:rPr>
    </w:lvl>
    <w:lvl w:ilvl="6" w:tplc="95E4BFBC" w:tentative="1">
      <w:start w:val="1"/>
      <w:numFmt w:val="bullet"/>
      <w:lvlText w:val="•"/>
      <w:lvlJc w:val="left"/>
      <w:pPr>
        <w:tabs>
          <w:tab w:val="num" w:pos="5040"/>
        </w:tabs>
        <w:ind w:left="5040" w:hanging="360"/>
      </w:pPr>
      <w:rPr>
        <w:rFonts w:ascii="Arial" w:hAnsi="Arial" w:hint="default"/>
      </w:rPr>
    </w:lvl>
    <w:lvl w:ilvl="7" w:tplc="00B0C0A0" w:tentative="1">
      <w:start w:val="1"/>
      <w:numFmt w:val="bullet"/>
      <w:lvlText w:val="•"/>
      <w:lvlJc w:val="left"/>
      <w:pPr>
        <w:tabs>
          <w:tab w:val="num" w:pos="5760"/>
        </w:tabs>
        <w:ind w:left="5760" w:hanging="360"/>
      </w:pPr>
      <w:rPr>
        <w:rFonts w:ascii="Arial" w:hAnsi="Arial" w:hint="default"/>
      </w:rPr>
    </w:lvl>
    <w:lvl w:ilvl="8" w:tplc="2F9E4F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D00FED"/>
    <w:multiLevelType w:val="hybridMultilevel"/>
    <w:tmpl w:val="53CA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951B2E"/>
    <w:multiLevelType w:val="hybridMultilevel"/>
    <w:tmpl w:val="E5B011E4"/>
    <w:lvl w:ilvl="0" w:tplc="AD66B988">
      <w:start w:val="1"/>
      <w:numFmt w:val="bullet"/>
      <w:lvlText w:val=""/>
      <w:lvlJc w:val="left"/>
      <w:pPr>
        <w:tabs>
          <w:tab w:val="num" w:pos="720"/>
        </w:tabs>
        <w:ind w:left="720" w:hanging="360"/>
      </w:pPr>
      <w:rPr>
        <w:rFonts w:ascii="Symbol" w:hAnsi="Symbol" w:hint="default"/>
      </w:rPr>
    </w:lvl>
    <w:lvl w:ilvl="1" w:tplc="21E81E98" w:tentative="1">
      <w:start w:val="1"/>
      <w:numFmt w:val="bullet"/>
      <w:lvlText w:val=""/>
      <w:lvlJc w:val="left"/>
      <w:pPr>
        <w:tabs>
          <w:tab w:val="num" w:pos="1440"/>
        </w:tabs>
        <w:ind w:left="1440" w:hanging="360"/>
      </w:pPr>
      <w:rPr>
        <w:rFonts w:ascii="Symbol" w:hAnsi="Symbol" w:hint="default"/>
      </w:rPr>
    </w:lvl>
    <w:lvl w:ilvl="2" w:tplc="13585794" w:tentative="1">
      <w:start w:val="1"/>
      <w:numFmt w:val="bullet"/>
      <w:lvlText w:val=""/>
      <w:lvlJc w:val="left"/>
      <w:pPr>
        <w:tabs>
          <w:tab w:val="num" w:pos="2160"/>
        </w:tabs>
        <w:ind w:left="2160" w:hanging="360"/>
      </w:pPr>
      <w:rPr>
        <w:rFonts w:ascii="Symbol" w:hAnsi="Symbol" w:hint="default"/>
      </w:rPr>
    </w:lvl>
    <w:lvl w:ilvl="3" w:tplc="59A2307C" w:tentative="1">
      <w:start w:val="1"/>
      <w:numFmt w:val="bullet"/>
      <w:lvlText w:val=""/>
      <w:lvlJc w:val="left"/>
      <w:pPr>
        <w:tabs>
          <w:tab w:val="num" w:pos="2880"/>
        </w:tabs>
        <w:ind w:left="2880" w:hanging="360"/>
      </w:pPr>
      <w:rPr>
        <w:rFonts w:ascii="Symbol" w:hAnsi="Symbol" w:hint="default"/>
      </w:rPr>
    </w:lvl>
    <w:lvl w:ilvl="4" w:tplc="9146ADC8" w:tentative="1">
      <w:start w:val="1"/>
      <w:numFmt w:val="bullet"/>
      <w:lvlText w:val=""/>
      <w:lvlJc w:val="left"/>
      <w:pPr>
        <w:tabs>
          <w:tab w:val="num" w:pos="3600"/>
        </w:tabs>
        <w:ind w:left="3600" w:hanging="360"/>
      </w:pPr>
      <w:rPr>
        <w:rFonts w:ascii="Symbol" w:hAnsi="Symbol" w:hint="default"/>
      </w:rPr>
    </w:lvl>
    <w:lvl w:ilvl="5" w:tplc="7B0864F4" w:tentative="1">
      <w:start w:val="1"/>
      <w:numFmt w:val="bullet"/>
      <w:lvlText w:val=""/>
      <w:lvlJc w:val="left"/>
      <w:pPr>
        <w:tabs>
          <w:tab w:val="num" w:pos="4320"/>
        </w:tabs>
        <w:ind w:left="4320" w:hanging="360"/>
      </w:pPr>
      <w:rPr>
        <w:rFonts w:ascii="Symbol" w:hAnsi="Symbol" w:hint="default"/>
      </w:rPr>
    </w:lvl>
    <w:lvl w:ilvl="6" w:tplc="468CD2B4" w:tentative="1">
      <w:start w:val="1"/>
      <w:numFmt w:val="bullet"/>
      <w:lvlText w:val=""/>
      <w:lvlJc w:val="left"/>
      <w:pPr>
        <w:tabs>
          <w:tab w:val="num" w:pos="5040"/>
        </w:tabs>
        <w:ind w:left="5040" w:hanging="360"/>
      </w:pPr>
      <w:rPr>
        <w:rFonts w:ascii="Symbol" w:hAnsi="Symbol" w:hint="default"/>
      </w:rPr>
    </w:lvl>
    <w:lvl w:ilvl="7" w:tplc="DCB0E11C" w:tentative="1">
      <w:start w:val="1"/>
      <w:numFmt w:val="bullet"/>
      <w:lvlText w:val=""/>
      <w:lvlJc w:val="left"/>
      <w:pPr>
        <w:tabs>
          <w:tab w:val="num" w:pos="5760"/>
        </w:tabs>
        <w:ind w:left="5760" w:hanging="360"/>
      </w:pPr>
      <w:rPr>
        <w:rFonts w:ascii="Symbol" w:hAnsi="Symbol" w:hint="default"/>
      </w:rPr>
    </w:lvl>
    <w:lvl w:ilvl="8" w:tplc="AC6AD2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C076F16"/>
    <w:multiLevelType w:val="multilevel"/>
    <w:tmpl w:val="F94C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832AA4"/>
    <w:multiLevelType w:val="hybridMultilevel"/>
    <w:tmpl w:val="3E907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0545515">
    <w:abstractNumId w:val="15"/>
  </w:num>
  <w:num w:numId="2" w16cid:durableId="1156721511">
    <w:abstractNumId w:val="7"/>
  </w:num>
  <w:num w:numId="3" w16cid:durableId="911239679">
    <w:abstractNumId w:val="9"/>
  </w:num>
  <w:num w:numId="4" w16cid:durableId="986858239">
    <w:abstractNumId w:val="14"/>
  </w:num>
  <w:num w:numId="5" w16cid:durableId="1070469160">
    <w:abstractNumId w:val="0"/>
  </w:num>
  <w:num w:numId="6" w16cid:durableId="1298485102">
    <w:abstractNumId w:val="21"/>
  </w:num>
  <w:num w:numId="7" w16cid:durableId="294021579">
    <w:abstractNumId w:val="3"/>
  </w:num>
  <w:num w:numId="8" w16cid:durableId="1594168295">
    <w:abstractNumId w:val="20"/>
  </w:num>
  <w:num w:numId="9" w16cid:durableId="466512443">
    <w:abstractNumId w:val="28"/>
  </w:num>
  <w:num w:numId="10" w16cid:durableId="580334433">
    <w:abstractNumId w:val="2"/>
  </w:num>
  <w:num w:numId="11" w16cid:durableId="1306473078">
    <w:abstractNumId w:val="8"/>
  </w:num>
  <w:num w:numId="12" w16cid:durableId="1518540943">
    <w:abstractNumId w:val="29"/>
  </w:num>
  <w:num w:numId="13" w16cid:durableId="189338514">
    <w:abstractNumId w:val="12"/>
  </w:num>
  <w:num w:numId="14" w16cid:durableId="313024011">
    <w:abstractNumId w:val="25"/>
  </w:num>
  <w:num w:numId="15" w16cid:durableId="948703999">
    <w:abstractNumId w:val="26"/>
  </w:num>
  <w:num w:numId="16" w16cid:durableId="959578200">
    <w:abstractNumId w:val="5"/>
  </w:num>
  <w:num w:numId="17" w16cid:durableId="2059280022">
    <w:abstractNumId w:val="17"/>
  </w:num>
  <w:num w:numId="18" w16cid:durableId="1020663376">
    <w:abstractNumId w:val="18"/>
  </w:num>
  <w:num w:numId="19" w16cid:durableId="1807628096">
    <w:abstractNumId w:val="24"/>
  </w:num>
  <w:num w:numId="20" w16cid:durableId="800613039">
    <w:abstractNumId w:val="15"/>
  </w:num>
  <w:num w:numId="21" w16cid:durableId="1184636157">
    <w:abstractNumId w:val="10"/>
  </w:num>
  <w:num w:numId="22" w16cid:durableId="1818648855">
    <w:abstractNumId w:val="16"/>
  </w:num>
  <w:num w:numId="23" w16cid:durableId="446316938">
    <w:abstractNumId w:val="22"/>
  </w:num>
  <w:num w:numId="24" w16cid:durableId="399598590">
    <w:abstractNumId w:val="1"/>
  </w:num>
  <w:num w:numId="25" w16cid:durableId="1072316098">
    <w:abstractNumId w:val="19"/>
  </w:num>
  <w:num w:numId="26" w16cid:durableId="1702318509">
    <w:abstractNumId w:val="11"/>
  </w:num>
  <w:num w:numId="27" w16cid:durableId="865100558">
    <w:abstractNumId w:val="4"/>
  </w:num>
  <w:num w:numId="28" w16cid:durableId="893811008">
    <w:abstractNumId w:val="15"/>
  </w:num>
  <w:num w:numId="29" w16cid:durableId="1617443701">
    <w:abstractNumId w:val="23"/>
  </w:num>
  <w:num w:numId="30" w16cid:durableId="741099505">
    <w:abstractNumId w:val="13"/>
  </w:num>
  <w:num w:numId="31" w16cid:durableId="890573460">
    <w:abstractNumId w:val="27"/>
  </w:num>
  <w:num w:numId="32" w16cid:durableId="157917046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C76"/>
    <w:rsid w:val="00002D4E"/>
    <w:rsid w:val="00002D7B"/>
    <w:rsid w:val="0001071C"/>
    <w:rsid w:val="00013BA1"/>
    <w:rsid w:val="000173D2"/>
    <w:rsid w:val="000177A7"/>
    <w:rsid w:val="000212A8"/>
    <w:rsid w:val="000305B8"/>
    <w:rsid w:val="0003173D"/>
    <w:rsid w:val="0003187B"/>
    <w:rsid w:val="000325A5"/>
    <w:rsid w:val="00035B77"/>
    <w:rsid w:val="00043447"/>
    <w:rsid w:val="000435B4"/>
    <w:rsid w:val="00043F17"/>
    <w:rsid w:val="00046037"/>
    <w:rsid w:val="00046B2B"/>
    <w:rsid w:val="00050812"/>
    <w:rsid w:val="000512AA"/>
    <w:rsid w:val="00052808"/>
    <w:rsid w:val="000530B5"/>
    <w:rsid w:val="00054B5E"/>
    <w:rsid w:val="0006203A"/>
    <w:rsid w:val="00063F68"/>
    <w:rsid w:val="0006445E"/>
    <w:rsid w:val="00070D36"/>
    <w:rsid w:val="00072DEF"/>
    <w:rsid w:val="00083286"/>
    <w:rsid w:val="0008576D"/>
    <w:rsid w:val="00085D68"/>
    <w:rsid w:val="000900A3"/>
    <w:rsid w:val="00090BF2"/>
    <w:rsid w:val="000912B4"/>
    <w:rsid w:val="0009134E"/>
    <w:rsid w:val="000914FB"/>
    <w:rsid w:val="00097900"/>
    <w:rsid w:val="000A08FB"/>
    <w:rsid w:val="000A4B4D"/>
    <w:rsid w:val="000A563F"/>
    <w:rsid w:val="000B10A2"/>
    <w:rsid w:val="000B300A"/>
    <w:rsid w:val="000B5320"/>
    <w:rsid w:val="000C3731"/>
    <w:rsid w:val="000C3F70"/>
    <w:rsid w:val="000C7457"/>
    <w:rsid w:val="000D2E5E"/>
    <w:rsid w:val="000E0503"/>
    <w:rsid w:val="000E2E71"/>
    <w:rsid w:val="000E6801"/>
    <w:rsid w:val="000F0DBA"/>
    <w:rsid w:val="000F6CF0"/>
    <w:rsid w:val="00100348"/>
    <w:rsid w:val="0010285B"/>
    <w:rsid w:val="001075BF"/>
    <w:rsid w:val="00111BA1"/>
    <w:rsid w:val="001156C5"/>
    <w:rsid w:val="00116159"/>
    <w:rsid w:val="0011621F"/>
    <w:rsid w:val="0013150C"/>
    <w:rsid w:val="00132C1C"/>
    <w:rsid w:val="00135149"/>
    <w:rsid w:val="0013532A"/>
    <w:rsid w:val="0014318F"/>
    <w:rsid w:val="00153617"/>
    <w:rsid w:val="00153D4F"/>
    <w:rsid w:val="0015573E"/>
    <w:rsid w:val="00157F5F"/>
    <w:rsid w:val="00160376"/>
    <w:rsid w:val="00160F3F"/>
    <w:rsid w:val="00163F7A"/>
    <w:rsid w:val="001710E8"/>
    <w:rsid w:val="00172634"/>
    <w:rsid w:val="001757EF"/>
    <w:rsid w:val="00176C8F"/>
    <w:rsid w:val="00182B78"/>
    <w:rsid w:val="00183412"/>
    <w:rsid w:val="001837A7"/>
    <w:rsid w:val="001910CE"/>
    <w:rsid w:val="00192DB8"/>
    <w:rsid w:val="00197D37"/>
    <w:rsid w:val="001A0DD4"/>
    <w:rsid w:val="001B4467"/>
    <w:rsid w:val="001B5E87"/>
    <w:rsid w:val="001B7343"/>
    <w:rsid w:val="001C3C44"/>
    <w:rsid w:val="001C5B26"/>
    <w:rsid w:val="001C5B27"/>
    <w:rsid w:val="001D3B6A"/>
    <w:rsid w:val="001E258E"/>
    <w:rsid w:val="001E3E65"/>
    <w:rsid w:val="001E6724"/>
    <w:rsid w:val="001E6976"/>
    <w:rsid w:val="001F01EA"/>
    <w:rsid w:val="001F67B2"/>
    <w:rsid w:val="001F7A73"/>
    <w:rsid w:val="00205EAF"/>
    <w:rsid w:val="002113B9"/>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1A73"/>
    <w:rsid w:val="00282A7D"/>
    <w:rsid w:val="00286FFA"/>
    <w:rsid w:val="002916BA"/>
    <w:rsid w:val="00292537"/>
    <w:rsid w:val="002945C5"/>
    <w:rsid w:val="00294F5B"/>
    <w:rsid w:val="00295CE8"/>
    <w:rsid w:val="002A0589"/>
    <w:rsid w:val="002A0BD0"/>
    <w:rsid w:val="002A1E7B"/>
    <w:rsid w:val="002A3FD7"/>
    <w:rsid w:val="002A679D"/>
    <w:rsid w:val="002A7B98"/>
    <w:rsid w:val="002B0F4B"/>
    <w:rsid w:val="002B14E2"/>
    <w:rsid w:val="002B4147"/>
    <w:rsid w:val="002B635C"/>
    <w:rsid w:val="002C1B43"/>
    <w:rsid w:val="002C2966"/>
    <w:rsid w:val="002C3DB7"/>
    <w:rsid w:val="002C66C4"/>
    <w:rsid w:val="002C6B6A"/>
    <w:rsid w:val="002D0C4A"/>
    <w:rsid w:val="002D0CFD"/>
    <w:rsid w:val="002D1455"/>
    <w:rsid w:val="002D4BE1"/>
    <w:rsid w:val="002D5790"/>
    <w:rsid w:val="002D60A6"/>
    <w:rsid w:val="002D73E2"/>
    <w:rsid w:val="002D73FC"/>
    <w:rsid w:val="002E4C72"/>
    <w:rsid w:val="002E7589"/>
    <w:rsid w:val="00310EEC"/>
    <w:rsid w:val="00313834"/>
    <w:rsid w:val="0031499D"/>
    <w:rsid w:val="00321236"/>
    <w:rsid w:val="00321B1F"/>
    <w:rsid w:val="00323AA2"/>
    <w:rsid w:val="00325911"/>
    <w:rsid w:val="0032607D"/>
    <w:rsid w:val="00333E67"/>
    <w:rsid w:val="00347884"/>
    <w:rsid w:val="003500BF"/>
    <w:rsid w:val="00356CF8"/>
    <w:rsid w:val="003632DB"/>
    <w:rsid w:val="00365156"/>
    <w:rsid w:val="00365B8E"/>
    <w:rsid w:val="00373AAE"/>
    <w:rsid w:val="00376C58"/>
    <w:rsid w:val="0037711D"/>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6934"/>
    <w:rsid w:val="003D78B7"/>
    <w:rsid w:val="003E18A0"/>
    <w:rsid w:val="003E21D0"/>
    <w:rsid w:val="003F2503"/>
    <w:rsid w:val="003F4F8B"/>
    <w:rsid w:val="003F7EE5"/>
    <w:rsid w:val="00401108"/>
    <w:rsid w:val="004034FC"/>
    <w:rsid w:val="00410C89"/>
    <w:rsid w:val="00411F15"/>
    <w:rsid w:val="00420B37"/>
    <w:rsid w:val="00424385"/>
    <w:rsid w:val="00426F30"/>
    <w:rsid w:val="004309EB"/>
    <w:rsid w:val="004333BB"/>
    <w:rsid w:val="00440E2F"/>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0FC4"/>
    <w:rsid w:val="004C6FF3"/>
    <w:rsid w:val="004C7B4A"/>
    <w:rsid w:val="004D2E8D"/>
    <w:rsid w:val="004D407C"/>
    <w:rsid w:val="004D40F9"/>
    <w:rsid w:val="004D5850"/>
    <w:rsid w:val="004D5E21"/>
    <w:rsid w:val="004D62E9"/>
    <w:rsid w:val="004E1944"/>
    <w:rsid w:val="004E462B"/>
    <w:rsid w:val="004F039D"/>
    <w:rsid w:val="004F0436"/>
    <w:rsid w:val="004F2B43"/>
    <w:rsid w:val="00503751"/>
    <w:rsid w:val="00507805"/>
    <w:rsid w:val="00510C6A"/>
    <w:rsid w:val="00516FB5"/>
    <w:rsid w:val="00520C67"/>
    <w:rsid w:val="00521C2A"/>
    <w:rsid w:val="00521CB4"/>
    <w:rsid w:val="00523AB1"/>
    <w:rsid w:val="00524E62"/>
    <w:rsid w:val="005251ED"/>
    <w:rsid w:val="005274C4"/>
    <w:rsid w:val="00532DC4"/>
    <w:rsid w:val="00534163"/>
    <w:rsid w:val="0053603A"/>
    <w:rsid w:val="00542A79"/>
    <w:rsid w:val="00542BE1"/>
    <w:rsid w:val="00543D28"/>
    <w:rsid w:val="00544A0F"/>
    <w:rsid w:val="0054673E"/>
    <w:rsid w:val="00555DFC"/>
    <w:rsid w:val="0057078F"/>
    <w:rsid w:val="00572034"/>
    <w:rsid w:val="00573BD6"/>
    <w:rsid w:val="00576095"/>
    <w:rsid w:val="00576182"/>
    <w:rsid w:val="00581DF1"/>
    <w:rsid w:val="00595370"/>
    <w:rsid w:val="005974FB"/>
    <w:rsid w:val="005A2A5F"/>
    <w:rsid w:val="005B13D0"/>
    <w:rsid w:val="005B564E"/>
    <w:rsid w:val="005C1F8E"/>
    <w:rsid w:val="005C4921"/>
    <w:rsid w:val="005C545D"/>
    <w:rsid w:val="005C7EBC"/>
    <w:rsid w:val="005D563C"/>
    <w:rsid w:val="005D5AC6"/>
    <w:rsid w:val="005D7BB9"/>
    <w:rsid w:val="005F2BBB"/>
    <w:rsid w:val="005F3501"/>
    <w:rsid w:val="005F48F2"/>
    <w:rsid w:val="005F6757"/>
    <w:rsid w:val="00600369"/>
    <w:rsid w:val="00601246"/>
    <w:rsid w:val="006015F9"/>
    <w:rsid w:val="00602690"/>
    <w:rsid w:val="006068C6"/>
    <w:rsid w:val="00607463"/>
    <w:rsid w:val="006129D9"/>
    <w:rsid w:val="00613F1F"/>
    <w:rsid w:val="00615078"/>
    <w:rsid w:val="0062584B"/>
    <w:rsid w:val="006627A0"/>
    <w:rsid w:val="00663D2E"/>
    <w:rsid w:val="006704CE"/>
    <w:rsid w:val="006706FD"/>
    <w:rsid w:val="00670B6F"/>
    <w:rsid w:val="00671647"/>
    <w:rsid w:val="006719CC"/>
    <w:rsid w:val="00671EED"/>
    <w:rsid w:val="00673C8F"/>
    <w:rsid w:val="00675BD8"/>
    <w:rsid w:val="0068031C"/>
    <w:rsid w:val="00682600"/>
    <w:rsid w:val="00682DCE"/>
    <w:rsid w:val="0068304A"/>
    <w:rsid w:val="0068655E"/>
    <w:rsid w:val="006912E1"/>
    <w:rsid w:val="00694129"/>
    <w:rsid w:val="006A0ABE"/>
    <w:rsid w:val="006A5575"/>
    <w:rsid w:val="006B5F5A"/>
    <w:rsid w:val="006B7F45"/>
    <w:rsid w:val="006C2A24"/>
    <w:rsid w:val="006C378E"/>
    <w:rsid w:val="006C6EFA"/>
    <w:rsid w:val="006D0A05"/>
    <w:rsid w:val="006D22AB"/>
    <w:rsid w:val="006D7EEE"/>
    <w:rsid w:val="006E0E69"/>
    <w:rsid w:val="006E5A5C"/>
    <w:rsid w:val="00700FBB"/>
    <w:rsid w:val="00701B02"/>
    <w:rsid w:val="00704420"/>
    <w:rsid w:val="00705469"/>
    <w:rsid w:val="007119F0"/>
    <w:rsid w:val="00712321"/>
    <w:rsid w:val="00717031"/>
    <w:rsid w:val="00721C58"/>
    <w:rsid w:val="007259E9"/>
    <w:rsid w:val="00734A8D"/>
    <w:rsid w:val="0074494F"/>
    <w:rsid w:val="00746761"/>
    <w:rsid w:val="00746F75"/>
    <w:rsid w:val="00747CA4"/>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5DC6"/>
    <w:rsid w:val="007A7A3D"/>
    <w:rsid w:val="007B0B11"/>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AD"/>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39EA"/>
    <w:rsid w:val="008F1A04"/>
    <w:rsid w:val="008F2B75"/>
    <w:rsid w:val="008F2F1D"/>
    <w:rsid w:val="008F3629"/>
    <w:rsid w:val="009076D7"/>
    <w:rsid w:val="00911188"/>
    <w:rsid w:val="009116CF"/>
    <w:rsid w:val="009146D1"/>
    <w:rsid w:val="00915C8C"/>
    <w:rsid w:val="009206DC"/>
    <w:rsid w:val="00924D27"/>
    <w:rsid w:val="00930D3B"/>
    <w:rsid w:val="00931C4C"/>
    <w:rsid w:val="00933923"/>
    <w:rsid w:val="00935DBB"/>
    <w:rsid w:val="00935E22"/>
    <w:rsid w:val="009437B4"/>
    <w:rsid w:val="00946B70"/>
    <w:rsid w:val="0094766E"/>
    <w:rsid w:val="009552D1"/>
    <w:rsid w:val="00955B12"/>
    <w:rsid w:val="00962289"/>
    <w:rsid w:val="0096382D"/>
    <w:rsid w:val="00965EF5"/>
    <w:rsid w:val="0097260D"/>
    <w:rsid w:val="0097295A"/>
    <w:rsid w:val="00972EC9"/>
    <w:rsid w:val="0098298C"/>
    <w:rsid w:val="00985C8E"/>
    <w:rsid w:val="00986AB0"/>
    <w:rsid w:val="00991A74"/>
    <w:rsid w:val="009940BD"/>
    <w:rsid w:val="00994B61"/>
    <w:rsid w:val="009A075B"/>
    <w:rsid w:val="009A4368"/>
    <w:rsid w:val="009A4546"/>
    <w:rsid w:val="009B1C4B"/>
    <w:rsid w:val="009B46A9"/>
    <w:rsid w:val="009B4F4E"/>
    <w:rsid w:val="009B6CE5"/>
    <w:rsid w:val="009C1580"/>
    <w:rsid w:val="009C1C2F"/>
    <w:rsid w:val="009C6945"/>
    <w:rsid w:val="009C6E72"/>
    <w:rsid w:val="009D20AE"/>
    <w:rsid w:val="009D5EB0"/>
    <w:rsid w:val="009D6374"/>
    <w:rsid w:val="009E0CD3"/>
    <w:rsid w:val="009E20E4"/>
    <w:rsid w:val="009E2DFA"/>
    <w:rsid w:val="009F3B40"/>
    <w:rsid w:val="009F63F2"/>
    <w:rsid w:val="009F7EB9"/>
    <w:rsid w:val="00A00435"/>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50BF5"/>
    <w:rsid w:val="00A535AB"/>
    <w:rsid w:val="00A57D7A"/>
    <w:rsid w:val="00A626CF"/>
    <w:rsid w:val="00A6329E"/>
    <w:rsid w:val="00A64DE9"/>
    <w:rsid w:val="00A65D6D"/>
    <w:rsid w:val="00A72C6F"/>
    <w:rsid w:val="00A72EEF"/>
    <w:rsid w:val="00A73CB1"/>
    <w:rsid w:val="00A77A59"/>
    <w:rsid w:val="00A816C9"/>
    <w:rsid w:val="00A820DB"/>
    <w:rsid w:val="00A83A47"/>
    <w:rsid w:val="00A848B1"/>
    <w:rsid w:val="00A8662A"/>
    <w:rsid w:val="00A959E8"/>
    <w:rsid w:val="00AA0374"/>
    <w:rsid w:val="00AA0EF2"/>
    <w:rsid w:val="00AA328A"/>
    <w:rsid w:val="00AA77CE"/>
    <w:rsid w:val="00AA7864"/>
    <w:rsid w:val="00AA79AE"/>
    <w:rsid w:val="00AB268E"/>
    <w:rsid w:val="00AB490A"/>
    <w:rsid w:val="00AB74F5"/>
    <w:rsid w:val="00AC0B81"/>
    <w:rsid w:val="00AC201E"/>
    <w:rsid w:val="00AC4BB9"/>
    <w:rsid w:val="00AC6827"/>
    <w:rsid w:val="00AD1516"/>
    <w:rsid w:val="00AD1855"/>
    <w:rsid w:val="00AD6910"/>
    <w:rsid w:val="00AD733E"/>
    <w:rsid w:val="00AD7F89"/>
    <w:rsid w:val="00AE645B"/>
    <w:rsid w:val="00AE6B4F"/>
    <w:rsid w:val="00AE6BD1"/>
    <w:rsid w:val="00AE73A7"/>
    <w:rsid w:val="00AF56C0"/>
    <w:rsid w:val="00AF5D0D"/>
    <w:rsid w:val="00AF62D5"/>
    <w:rsid w:val="00AF7F68"/>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3F58"/>
    <w:rsid w:val="00B64283"/>
    <w:rsid w:val="00B708B8"/>
    <w:rsid w:val="00B719E7"/>
    <w:rsid w:val="00B7609D"/>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3D48"/>
    <w:rsid w:val="00BD4EAD"/>
    <w:rsid w:val="00BE0C6E"/>
    <w:rsid w:val="00BE3D43"/>
    <w:rsid w:val="00BE413B"/>
    <w:rsid w:val="00BE5BE2"/>
    <w:rsid w:val="00BE6C1C"/>
    <w:rsid w:val="00BE6E3D"/>
    <w:rsid w:val="00BE796C"/>
    <w:rsid w:val="00BE7C3F"/>
    <w:rsid w:val="00BF3574"/>
    <w:rsid w:val="00BF3728"/>
    <w:rsid w:val="00BF478A"/>
    <w:rsid w:val="00BF4DAC"/>
    <w:rsid w:val="00C03BC4"/>
    <w:rsid w:val="00C04147"/>
    <w:rsid w:val="00C04CAF"/>
    <w:rsid w:val="00C07AC0"/>
    <w:rsid w:val="00C109FD"/>
    <w:rsid w:val="00C10F52"/>
    <w:rsid w:val="00C116A6"/>
    <w:rsid w:val="00C12177"/>
    <w:rsid w:val="00C1230C"/>
    <w:rsid w:val="00C20322"/>
    <w:rsid w:val="00C24435"/>
    <w:rsid w:val="00C33FB5"/>
    <w:rsid w:val="00C37736"/>
    <w:rsid w:val="00C42010"/>
    <w:rsid w:val="00C42C0D"/>
    <w:rsid w:val="00C447BB"/>
    <w:rsid w:val="00C52FB5"/>
    <w:rsid w:val="00C53159"/>
    <w:rsid w:val="00C60AA0"/>
    <w:rsid w:val="00C60D87"/>
    <w:rsid w:val="00C614EB"/>
    <w:rsid w:val="00C61D51"/>
    <w:rsid w:val="00C63A7D"/>
    <w:rsid w:val="00C678F3"/>
    <w:rsid w:val="00C67C10"/>
    <w:rsid w:val="00C70067"/>
    <w:rsid w:val="00C70167"/>
    <w:rsid w:val="00C707BC"/>
    <w:rsid w:val="00C70984"/>
    <w:rsid w:val="00C7452D"/>
    <w:rsid w:val="00C82315"/>
    <w:rsid w:val="00C82B49"/>
    <w:rsid w:val="00C83F1F"/>
    <w:rsid w:val="00C85FFF"/>
    <w:rsid w:val="00C971D1"/>
    <w:rsid w:val="00CA391C"/>
    <w:rsid w:val="00CA61E8"/>
    <w:rsid w:val="00CB722E"/>
    <w:rsid w:val="00CC01F4"/>
    <w:rsid w:val="00CC2181"/>
    <w:rsid w:val="00CC2F60"/>
    <w:rsid w:val="00CD16AB"/>
    <w:rsid w:val="00CD5B4C"/>
    <w:rsid w:val="00CD75F4"/>
    <w:rsid w:val="00CD7609"/>
    <w:rsid w:val="00CD791C"/>
    <w:rsid w:val="00CE7178"/>
    <w:rsid w:val="00CF3B5C"/>
    <w:rsid w:val="00CF57DA"/>
    <w:rsid w:val="00CF7FCC"/>
    <w:rsid w:val="00D113A6"/>
    <w:rsid w:val="00D206BA"/>
    <w:rsid w:val="00D20A91"/>
    <w:rsid w:val="00D20F75"/>
    <w:rsid w:val="00D212D0"/>
    <w:rsid w:val="00D21E39"/>
    <w:rsid w:val="00D248C6"/>
    <w:rsid w:val="00D2617C"/>
    <w:rsid w:val="00D30DA5"/>
    <w:rsid w:val="00D310A8"/>
    <w:rsid w:val="00D31222"/>
    <w:rsid w:val="00D3390F"/>
    <w:rsid w:val="00D36BB5"/>
    <w:rsid w:val="00D44DFE"/>
    <w:rsid w:val="00D4727A"/>
    <w:rsid w:val="00D5075B"/>
    <w:rsid w:val="00D529C9"/>
    <w:rsid w:val="00D661B7"/>
    <w:rsid w:val="00D66AB4"/>
    <w:rsid w:val="00D66F9E"/>
    <w:rsid w:val="00D67433"/>
    <w:rsid w:val="00D677A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D54B4"/>
    <w:rsid w:val="00DE0B50"/>
    <w:rsid w:val="00DE0C51"/>
    <w:rsid w:val="00DE28AE"/>
    <w:rsid w:val="00DF367D"/>
    <w:rsid w:val="00DF3A4E"/>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2A5D"/>
    <w:rsid w:val="00E5471C"/>
    <w:rsid w:val="00E61171"/>
    <w:rsid w:val="00E71A83"/>
    <w:rsid w:val="00E7571E"/>
    <w:rsid w:val="00E83BE1"/>
    <w:rsid w:val="00E84428"/>
    <w:rsid w:val="00E84E27"/>
    <w:rsid w:val="00E85310"/>
    <w:rsid w:val="00E874D7"/>
    <w:rsid w:val="00E87AA2"/>
    <w:rsid w:val="00E87BD8"/>
    <w:rsid w:val="00E91670"/>
    <w:rsid w:val="00E91A8E"/>
    <w:rsid w:val="00E92A08"/>
    <w:rsid w:val="00E92ED2"/>
    <w:rsid w:val="00E96703"/>
    <w:rsid w:val="00E967AB"/>
    <w:rsid w:val="00E9687E"/>
    <w:rsid w:val="00E977DB"/>
    <w:rsid w:val="00EA2B88"/>
    <w:rsid w:val="00EA3A6E"/>
    <w:rsid w:val="00EA3AC2"/>
    <w:rsid w:val="00EA4944"/>
    <w:rsid w:val="00EB03DF"/>
    <w:rsid w:val="00EB2AE2"/>
    <w:rsid w:val="00EB3EFB"/>
    <w:rsid w:val="00EB5212"/>
    <w:rsid w:val="00EC229C"/>
    <w:rsid w:val="00EC4937"/>
    <w:rsid w:val="00ED53AA"/>
    <w:rsid w:val="00EE1320"/>
    <w:rsid w:val="00EE5DF8"/>
    <w:rsid w:val="00EF0682"/>
    <w:rsid w:val="00EF081C"/>
    <w:rsid w:val="00EF2D96"/>
    <w:rsid w:val="00EF48DC"/>
    <w:rsid w:val="00EF492B"/>
    <w:rsid w:val="00EF6916"/>
    <w:rsid w:val="00EF7850"/>
    <w:rsid w:val="00F03087"/>
    <w:rsid w:val="00F077F0"/>
    <w:rsid w:val="00F07C28"/>
    <w:rsid w:val="00F1256B"/>
    <w:rsid w:val="00F16C06"/>
    <w:rsid w:val="00F218AA"/>
    <w:rsid w:val="00F25140"/>
    <w:rsid w:val="00F27818"/>
    <w:rsid w:val="00F33167"/>
    <w:rsid w:val="00F33B54"/>
    <w:rsid w:val="00F33BE1"/>
    <w:rsid w:val="00F35F4B"/>
    <w:rsid w:val="00F37E8A"/>
    <w:rsid w:val="00F42B5B"/>
    <w:rsid w:val="00F57156"/>
    <w:rsid w:val="00F6110D"/>
    <w:rsid w:val="00F7096C"/>
    <w:rsid w:val="00F711D7"/>
    <w:rsid w:val="00F71B95"/>
    <w:rsid w:val="00F75956"/>
    <w:rsid w:val="00F7689E"/>
    <w:rsid w:val="00F77963"/>
    <w:rsid w:val="00F8154E"/>
    <w:rsid w:val="00F84E56"/>
    <w:rsid w:val="00F86E97"/>
    <w:rsid w:val="00F87469"/>
    <w:rsid w:val="00F91D56"/>
    <w:rsid w:val="00F930DE"/>
    <w:rsid w:val="00F935BF"/>
    <w:rsid w:val="00FA00B0"/>
    <w:rsid w:val="00FA0146"/>
    <w:rsid w:val="00FA2D99"/>
    <w:rsid w:val="00FA3D29"/>
    <w:rsid w:val="00FA6C5B"/>
    <w:rsid w:val="00FB24F1"/>
    <w:rsid w:val="00FB2C88"/>
    <w:rsid w:val="00FB729B"/>
    <w:rsid w:val="00FC1FED"/>
    <w:rsid w:val="00FD04AC"/>
    <w:rsid w:val="00FD074B"/>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182"/>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3">
      <w:bodyDiv w:val="1"/>
      <w:marLeft w:val="0"/>
      <w:marRight w:val="0"/>
      <w:marTop w:val="0"/>
      <w:marBottom w:val="0"/>
      <w:divBdr>
        <w:top w:val="none" w:sz="0" w:space="0" w:color="auto"/>
        <w:left w:val="none" w:sz="0" w:space="0" w:color="auto"/>
        <w:bottom w:val="none" w:sz="0" w:space="0" w:color="auto"/>
        <w:right w:val="none" w:sz="0" w:space="0" w:color="auto"/>
      </w:divBdr>
    </w:div>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614975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99375025">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107204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8233778">
      <w:bodyDiv w:val="1"/>
      <w:marLeft w:val="0"/>
      <w:marRight w:val="0"/>
      <w:marTop w:val="0"/>
      <w:marBottom w:val="0"/>
      <w:divBdr>
        <w:top w:val="none" w:sz="0" w:space="0" w:color="auto"/>
        <w:left w:val="none" w:sz="0" w:space="0" w:color="auto"/>
        <w:bottom w:val="none" w:sz="0" w:space="0" w:color="auto"/>
        <w:right w:val="none" w:sz="0" w:space="0" w:color="auto"/>
      </w:divBdr>
    </w:div>
    <w:div w:id="159279328">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69296593">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837253">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285308865">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3978223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0292296">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199104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0573344">
      <w:bodyDiv w:val="1"/>
      <w:marLeft w:val="0"/>
      <w:marRight w:val="0"/>
      <w:marTop w:val="0"/>
      <w:marBottom w:val="0"/>
      <w:divBdr>
        <w:top w:val="none" w:sz="0" w:space="0" w:color="auto"/>
        <w:left w:val="none" w:sz="0" w:space="0" w:color="auto"/>
        <w:bottom w:val="none" w:sz="0" w:space="0" w:color="auto"/>
        <w:right w:val="none" w:sz="0" w:space="0" w:color="auto"/>
      </w:divBdr>
    </w:div>
    <w:div w:id="607543780">
      <w:bodyDiv w:val="1"/>
      <w:marLeft w:val="0"/>
      <w:marRight w:val="0"/>
      <w:marTop w:val="0"/>
      <w:marBottom w:val="0"/>
      <w:divBdr>
        <w:top w:val="none" w:sz="0" w:space="0" w:color="auto"/>
        <w:left w:val="none" w:sz="0" w:space="0" w:color="auto"/>
        <w:bottom w:val="none" w:sz="0" w:space="0" w:color="auto"/>
        <w:right w:val="none" w:sz="0" w:space="0" w:color="auto"/>
      </w:divBdr>
      <w:divsChild>
        <w:div w:id="1952348276">
          <w:marLeft w:val="360"/>
          <w:marRight w:val="0"/>
          <w:marTop w:val="200"/>
          <w:marBottom w:val="0"/>
          <w:divBdr>
            <w:top w:val="none" w:sz="0" w:space="0" w:color="auto"/>
            <w:left w:val="none" w:sz="0" w:space="0" w:color="auto"/>
            <w:bottom w:val="none" w:sz="0" w:space="0" w:color="auto"/>
            <w:right w:val="none" w:sz="0" w:space="0" w:color="auto"/>
          </w:divBdr>
        </w:div>
        <w:div w:id="1435246376">
          <w:marLeft w:val="360"/>
          <w:marRight w:val="0"/>
          <w:marTop w:val="200"/>
          <w:marBottom w:val="0"/>
          <w:divBdr>
            <w:top w:val="none" w:sz="0" w:space="0" w:color="auto"/>
            <w:left w:val="none" w:sz="0" w:space="0" w:color="auto"/>
            <w:bottom w:val="none" w:sz="0" w:space="0" w:color="auto"/>
            <w:right w:val="none" w:sz="0" w:space="0" w:color="auto"/>
          </w:divBdr>
        </w:div>
        <w:div w:id="1189952003">
          <w:marLeft w:val="1080"/>
          <w:marRight w:val="0"/>
          <w:marTop w:val="100"/>
          <w:marBottom w:val="0"/>
          <w:divBdr>
            <w:top w:val="none" w:sz="0" w:space="0" w:color="auto"/>
            <w:left w:val="none" w:sz="0" w:space="0" w:color="auto"/>
            <w:bottom w:val="none" w:sz="0" w:space="0" w:color="auto"/>
            <w:right w:val="none" w:sz="0" w:space="0" w:color="auto"/>
          </w:divBdr>
        </w:div>
        <w:div w:id="696154776">
          <w:marLeft w:val="1800"/>
          <w:marRight w:val="0"/>
          <w:marTop w:val="100"/>
          <w:marBottom w:val="0"/>
          <w:divBdr>
            <w:top w:val="none" w:sz="0" w:space="0" w:color="auto"/>
            <w:left w:val="none" w:sz="0" w:space="0" w:color="auto"/>
            <w:bottom w:val="none" w:sz="0" w:space="0" w:color="auto"/>
            <w:right w:val="none" w:sz="0" w:space="0" w:color="auto"/>
          </w:divBdr>
        </w:div>
        <w:div w:id="85537562">
          <w:marLeft w:val="1800"/>
          <w:marRight w:val="0"/>
          <w:marTop w:val="100"/>
          <w:marBottom w:val="0"/>
          <w:divBdr>
            <w:top w:val="none" w:sz="0" w:space="0" w:color="auto"/>
            <w:left w:val="none" w:sz="0" w:space="0" w:color="auto"/>
            <w:bottom w:val="none" w:sz="0" w:space="0" w:color="auto"/>
            <w:right w:val="none" w:sz="0" w:space="0" w:color="auto"/>
          </w:divBdr>
        </w:div>
        <w:div w:id="1171798366">
          <w:marLeft w:val="1080"/>
          <w:marRight w:val="0"/>
          <w:marTop w:val="100"/>
          <w:marBottom w:val="0"/>
          <w:divBdr>
            <w:top w:val="none" w:sz="0" w:space="0" w:color="auto"/>
            <w:left w:val="none" w:sz="0" w:space="0" w:color="auto"/>
            <w:bottom w:val="none" w:sz="0" w:space="0" w:color="auto"/>
            <w:right w:val="none" w:sz="0" w:space="0" w:color="auto"/>
          </w:divBdr>
        </w:div>
        <w:div w:id="1872572770">
          <w:marLeft w:val="1800"/>
          <w:marRight w:val="0"/>
          <w:marTop w:val="100"/>
          <w:marBottom w:val="0"/>
          <w:divBdr>
            <w:top w:val="none" w:sz="0" w:space="0" w:color="auto"/>
            <w:left w:val="none" w:sz="0" w:space="0" w:color="auto"/>
            <w:bottom w:val="none" w:sz="0" w:space="0" w:color="auto"/>
            <w:right w:val="none" w:sz="0" w:space="0" w:color="auto"/>
          </w:divBdr>
        </w:div>
      </w:divsChild>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17447348">
      <w:bodyDiv w:val="1"/>
      <w:marLeft w:val="0"/>
      <w:marRight w:val="0"/>
      <w:marTop w:val="0"/>
      <w:marBottom w:val="0"/>
      <w:divBdr>
        <w:top w:val="none" w:sz="0" w:space="0" w:color="auto"/>
        <w:left w:val="none" w:sz="0" w:space="0" w:color="auto"/>
        <w:bottom w:val="none" w:sz="0" w:space="0" w:color="auto"/>
        <w:right w:val="none" w:sz="0" w:space="0" w:color="auto"/>
      </w:divBdr>
      <w:divsChild>
        <w:div w:id="383405355">
          <w:marLeft w:val="360"/>
          <w:marRight w:val="0"/>
          <w:marTop w:val="200"/>
          <w:marBottom w:val="0"/>
          <w:divBdr>
            <w:top w:val="none" w:sz="0" w:space="0" w:color="auto"/>
            <w:left w:val="none" w:sz="0" w:space="0" w:color="auto"/>
            <w:bottom w:val="none" w:sz="0" w:space="0" w:color="auto"/>
            <w:right w:val="none" w:sz="0" w:space="0" w:color="auto"/>
          </w:divBdr>
        </w:div>
        <w:div w:id="1763138710">
          <w:marLeft w:val="360"/>
          <w:marRight w:val="0"/>
          <w:marTop w:val="200"/>
          <w:marBottom w:val="0"/>
          <w:divBdr>
            <w:top w:val="none" w:sz="0" w:space="0" w:color="auto"/>
            <w:left w:val="none" w:sz="0" w:space="0" w:color="auto"/>
            <w:bottom w:val="none" w:sz="0" w:space="0" w:color="auto"/>
            <w:right w:val="none" w:sz="0" w:space="0" w:color="auto"/>
          </w:divBdr>
        </w:div>
        <w:div w:id="951598072">
          <w:marLeft w:val="1080"/>
          <w:marRight w:val="0"/>
          <w:marTop w:val="100"/>
          <w:marBottom w:val="0"/>
          <w:divBdr>
            <w:top w:val="none" w:sz="0" w:space="0" w:color="auto"/>
            <w:left w:val="none" w:sz="0" w:space="0" w:color="auto"/>
            <w:bottom w:val="none" w:sz="0" w:space="0" w:color="auto"/>
            <w:right w:val="none" w:sz="0" w:space="0" w:color="auto"/>
          </w:divBdr>
        </w:div>
        <w:div w:id="1151755442">
          <w:marLeft w:val="1800"/>
          <w:marRight w:val="0"/>
          <w:marTop w:val="100"/>
          <w:marBottom w:val="0"/>
          <w:divBdr>
            <w:top w:val="none" w:sz="0" w:space="0" w:color="auto"/>
            <w:left w:val="none" w:sz="0" w:space="0" w:color="auto"/>
            <w:bottom w:val="none" w:sz="0" w:space="0" w:color="auto"/>
            <w:right w:val="none" w:sz="0" w:space="0" w:color="auto"/>
          </w:divBdr>
        </w:div>
        <w:div w:id="1648124542">
          <w:marLeft w:val="1800"/>
          <w:marRight w:val="0"/>
          <w:marTop w:val="100"/>
          <w:marBottom w:val="0"/>
          <w:divBdr>
            <w:top w:val="none" w:sz="0" w:space="0" w:color="auto"/>
            <w:left w:val="none" w:sz="0" w:space="0" w:color="auto"/>
            <w:bottom w:val="none" w:sz="0" w:space="0" w:color="auto"/>
            <w:right w:val="none" w:sz="0" w:space="0" w:color="auto"/>
          </w:divBdr>
        </w:div>
        <w:div w:id="1605921426">
          <w:marLeft w:val="1080"/>
          <w:marRight w:val="0"/>
          <w:marTop w:val="100"/>
          <w:marBottom w:val="0"/>
          <w:divBdr>
            <w:top w:val="none" w:sz="0" w:space="0" w:color="auto"/>
            <w:left w:val="none" w:sz="0" w:space="0" w:color="auto"/>
            <w:bottom w:val="none" w:sz="0" w:space="0" w:color="auto"/>
            <w:right w:val="none" w:sz="0" w:space="0" w:color="auto"/>
          </w:divBdr>
        </w:div>
        <w:div w:id="1254968386">
          <w:marLeft w:val="1800"/>
          <w:marRight w:val="0"/>
          <w:marTop w:val="100"/>
          <w:marBottom w:val="0"/>
          <w:divBdr>
            <w:top w:val="none" w:sz="0" w:space="0" w:color="auto"/>
            <w:left w:val="none" w:sz="0" w:space="0" w:color="auto"/>
            <w:bottom w:val="none" w:sz="0" w:space="0" w:color="auto"/>
            <w:right w:val="none" w:sz="0" w:space="0" w:color="auto"/>
          </w:divBdr>
        </w:div>
      </w:divsChild>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43769279">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4682664">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64117414">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49109195">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65758350">
      <w:bodyDiv w:val="1"/>
      <w:marLeft w:val="0"/>
      <w:marRight w:val="0"/>
      <w:marTop w:val="0"/>
      <w:marBottom w:val="0"/>
      <w:divBdr>
        <w:top w:val="none" w:sz="0" w:space="0" w:color="auto"/>
        <w:left w:val="none" w:sz="0" w:space="0" w:color="auto"/>
        <w:bottom w:val="none" w:sz="0" w:space="0" w:color="auto"/>
        <w:right w:val="none" w:sz="0" w:space="0" w:color="auto"/>
      </w:divBdr>
      <w:divsChild>
        <w:div w:id="1813592888">
          <w:marLeft w:val="360"/>
          <w:marRight w:val="0"/>
          <w:marTop w:val="200"/>
          <w:marBottom w:val="0"/>
          <w:divBdr>
            <w:top w:val="none" w:sz="0" w:space="0" w:color="auto"/>
            <w:left w:val="none" w:sz="0" w:space="0" w:color="auto"/>
            <w:bottom w:val="none" w:sz="0" w:space="0" w:color="auto"/>
            <w:right w:val="none" w:sz="0" w:space="0" w:color="auto"/>
          </w:divBdr>
        </w:div>
        <w:div w:id="1700469661">
          <w:marLeft w:val="360"/>
          <w:marRight w:val="0"/>
          <w:marTop w:val="200"/>
          <w:marBottom w:val="0"/>
          <w:divBdr>
            <w:top w:val="none" w:sz="0" w:space="0" w:color="auto"/>
            <w:left w:val="none" w:sz="0" w:space="0" w:color="auto"/>
            <w:bottom w:val="none" w:sz="0" w:space="0" w:color="auto"/>
            <w:right w:val="none" w:sz="0" w:space="0" w:color="auto"/>
          </w:divBdr>
        </w:div>
        <w:div w:id="50661211">
          <w:marLeft w:val="1080"/>
          <w:marRight w:val="0"/>
          <w:marTop w:val="100"/>
          <w:marBottom w:val="0"/>
          <w:divBdr>
            <w:top w:val="none" w:sz="0" w:space="0" w:color="auto"/>
            <w:left w:val="none" w:sz="0" w:space="0" w:color="auto"/>
            <w:bottom w:val="none" w:sz="0" w:space="0" w:color="auto"/>
            <w:right w:val="none" w:sz="0" w:space="0" w:color="auto"/>
          </w:divBdr>
        </w:div>
        <w:div w:id="1760369014">
          <w:marLeft w:val="1800"/>
          <w:marRight w:val="0"/>
          <w:marTop w:val="100"/>
          <w:marBottom w:val="0"/>
          <w:divBdr>
            <w:top w:val="none" w:sz="0" w:space="0" w:color="auto"/>
            <w:left w:val="none" w:sz="0" w:space="0" w:color="auto"/>
            <w:bottom w:val="none" w:sz="0" w:space="0" w:color="auto"/>
            <w:right w:val="none" w:sz="0" w:space="0" w:color="auto"/>
          </w:divBdr>
        </w:div>
        <w:div w:id="1378702196">
          <w:marLeft w:val="1800"/>
          <w:marRight w:val="0"/>
          <w:marTop w:val="100"/>
          <w:marBottom w:val="0"/>
          <w:divBdr>
            <w:top w:val="none" w:sz="0" w:space="0" w:color="auto"/>
            <w:left w:val="none" w:sz="0" w:space="0" w:color="auto"/>
            <w:bottom w:val="none" w:sz="0" w:space="0" w:color="auto"/>
            <w:right w:val="none" w:sz="0" w:space="0" w:color="auto"/>
          </w:divBdr>
        </w:div>
        <w:div w:id="1701392162">
          <w:marLeft w:val="1080"/>
          <w:marRight w:val="0"/>
          <w:marTop w:val="100"/>
          <w:marBottom w:val="0"/>
          <w:divBdr>
            <w:top w:val="none" w:sz="0" w:space="0" w:color="auto"/>
            <w:left w:val="none" w:sz="0" w:space="0" w:color="auto"/>
            <w:bottom w:val="none" w:sz="0" w:space="0" w:color="auto"/>
            <w:right w:val="none" w:sz="0" w:space="0" w:color="auto"/>
          </w:divBdr>
        </w:div>
        <w:div w:id="1969317580">
          <w:marLeft w:val="1800"/>
          <w:marRight w:val="0"/>
          <w:marTop w:val="100"/>
          <w:marBottom w:val="0"/>
          <w:divBdr>
            <w:top w:val="none" w:sz="0" w:space="0" w:color="auto"/>
            <w:left w:val="none" w:sz="0" w:space="0" w:color="auto"/>
            <w:bottom w:val="none" w:sz="0" w:space="0" w:color="auto"/>
            <w:right w:val="none" w:sz="0" w:space="0" w:color="auto"/>
          </w:divBdr>
        </w:div>
      </w:divsChild>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15782716">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195460838">
      <w:bodyDiv w:val="1"/>
      <w:marLeft w:val="0"/>
      <w:marRight w:val="0"/>
      <w:marTop w:val="0"/>
      <w:marBottom w:val="0"/>
      <w:divBdr>
        <w:top w:val="none" w:sz="0" w:space="0" w:color="auto"/>
        <w:left w:val="none" w:sz="0" w:space="0" w:color="auto"/>
        <w:bottom w:val="none" w:sz="0" w:space="0" w:color="auto"/>
        <w:right w:val="none" w:sz="0" w:space="0" w:color="auto"/>
      </w:divBdr>
      <w:divsChild>
        <w:div w:id="466510236">
          <w:marLeft w:val="720"/>
          <w:marRight w:val="0"/>
          <w:marTop w:val="154"/>
          <w:marBottom w:val="0"/>
          <w:divBdr>
            <w:top w:val="none" w:sz="0" w:space="0" w:color="auto"/>
            <w:left w:val="none" w:sz="0" w:space="0" w:color="auto"/>
            <w:bottom w:val="none" w:sz="0" w:space="0" w:color="auto"/>
            <w:right w:val="none" w:sz="0" w:space="0" w:color="auto"/>
          </w:divBdr>
        </w:div>
        <w:div w:id="989677499">
          <w:marLeft w:val="720"/>
          <w:marRight w:val="0"/>
          <w:marTop w:val="154"/>
          <w:marBottom w:val="0"/>
          <w:divBdr>
            <w:top w:val="none" w:sz="0" w:space="0" w:color="auto"/>
            <w:left w:val="none" w:sz="0" w:space="0" w:color="auto"/>
            <w:bottom w:val="none" w:sz="0" w:space="0" w:color="auto"/>
            <w:right w:val="none" w:sz="0" w:space="0" w:color="auto"/>
          </w:divBdr>
        </w:div>
        <w:div w:id="225067721">
          <w:marLeft w:val="720"/>
          <w:marRight w:val="0"/>
          <w:marTop w:val="154"/>
          <w:marBottom w:val="0"/>
          <w:divBdr>
            <w:top w:val="none" w:sz="0" w:space="0" w:color="auto"/>
            <w:left w:val="none" w:sz="0" w:space="0" w:color="auto"/>
            <w:bottom w:val="none" w:sz="0" w:space="0" w:color="auto"/>
            <w:right w:val="none" w:sz="0" w:space="0" w:color="auto"/>
          </w:divBdr>
        </w:div>
        <w:div w:id="455030129">
          <w:marLeft w:val="720"/>
          <w:marRight w:val="0"/>
          <w:marTop w:val="154"/>
          <w:marBottom w:val="0"/>
          <w:divBdr>
            <w:top w:val="none" w:sz="0" w:space="0" w:color="auto"/>
            <w:left w:val="none" w:sz="0" w:space="0" w:color="auto"/>
            <w:bottom w:val="none" w:sz="0" w:space="0" w:color="auto"/>
            <w:right w:val="none" w:sz="0" w:space="0" w:color="auto"/>
          </w:divBdr>
        </w:div>
      </w:divsChild>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46837438">
      <w:bodyDiv w:val="1"/>
      <w:marLeft w:val="0"/>
      <w:marRight w:val="0"/>
      <w:marTop w:val="0"/>
      <w:marBottom w:val="0"/>
      <w:divBdr>
        <w:top w:val="none" w:sz="0" w:space="0" w:color="auto"/>
        <w:left w:val="none" w:sz="0" w:space="0" w:color="auto"/>
        <w:bottom w:val="none" w:sz="0" w:space="0" w:color="auto"/>
        <w:right w:val="none" w:sz="0" w:space="0" w:color="auto"/>
      </w:divBdr>
      <w:divsChild>
        <w:div w:id="1255357419">
          <w:marLeft w:val="720"/>
          <w:marRight w:val="0"/>
          <w:marTop w:val="154"/>
          <w:marBottom w:val="0"/>
          <w:divBdr>
            <w:top w:val="none" w:sz="0" w:space="0" w:color="auto"/>
            <w:left w:val="none" w:sz="0" w:space="0" w:color="auto"/>
            <w:bottom w:val="none" w:sz="0" w:space="0" w:color="auto"/>
            <w:right w:val="none" w:sz="0" w:space="0" w:color="auto"/>
          </w:divBdr>
        </w:div>
        <w:div w:id="1750345874">
          <w:marLeft w:val="720"/>
          <w:marRight w:val="0"/>
          <w:marTop w:val="154"/>
          <w:marBottom w:val="0"/>
          <w:divBdr>
            <w:top w:val="none" w:sz="0" w:space="0" w:color="auto"/>
            <w:left w:val="none" w:sz="0" w:space="0" w:color="auto"/>
            <w:bottom w:val="none" w:sz="0" w:space="0" w:color="auto"/>
            <w:right w:val="none" w:sz="0" w:space="0" w:color="auto"/>
          </w:divBdr>
        </w:div>
        <w:div w:id="1492406819">
          <w:marLeft w:val="720"/>
          <w:marRight w:val="0"/>
          <w:marTop w:val="154"/>
          <w:marBottom w:val="0"/>
          <w:divBdr>
            <w:top w:val="none" w:sz="0" w:space="0" w:color="auto"/>
            <w:left w:val="none" w:sz="0" w:space="0" w:color="auto"/>
            <w:bottom w:val="none" w:sz="0" w:space="0" w:color="auto"/>
            <w:right w:val="none" w:sz="0" w:space="0" w:color="auto"/>
          </w:divBdr>
        </w:div>
        <w:div w:id="1459715453">
          <w:marLeft w:val="720"/>
          <w:marRight w:val="0"/>
          <w:marTop w:val="154"/>
          <w:marBottom w:val="0"/>
          <w:divBdr>
            <w:top w:val="none" w:sz="0" w:space="0" w:color="auto"/>
            <w:left w:val="none" w:sz="0" w:space="0" w:color="auto"/>
            <w:bottom w:val="none" w:sz="0" w:space="0" w:color="auto"/>
            <w:right w:val="none" w:sz="0" w:space="0" w:color="auto"/>
          </w:divBdr>
        </w:div>
      </w:divsChild>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72208378">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17568332">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370568262">
      <w:bodyDiv w:val="1"/>
      <w:marLeft w:val="0"/>
      <w:marRight w:val="0"/>
      <w:marTop w:val="0"/>
      <w:marBottom w:val="0"/>
      <w:divBdr>
        <w:top w:val="none" w:sz="0" w:space="0" w:color="auto"/>
        <w:left w:val="none" w:sz="0" w:space="0" w:color="auto"/>
        <w:bottom w:val="none" w:sz="0" w:space="0" w:color="auto"/>
        <w:right w:val="none" w:sz="0" w:space="0" w:color="auto"/>
      </w:divBdr>
    </w:div>
    <w:div w:id="139273052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1390830">
      <w:bodyDiv w:val="1"/>
      <w:marLeft w:val="0"/>
      <w:marRight w:val="0"/>
      <w:marTop w:val="0"/>
      <w:marBottom w:val="0"/>
      <w:divBdr>
        <w:top w:val="none" w:sz="0" w:space="0" w:color="auto"/>
        <w:left w:val="none" w:sz="0" w:space="0" w:color="auto"/>
        <w:bottom w:val="none" w:sz="0" w:space="0" w:color="auto"/>
        <w:right w:val="none" w:sz="0" w:space="0" w:color="auto"/>
      </w:divBdr>
      <w:divsChild>
        <w:div w:id="1933120946">
          <w:marLeft w:val="360"/>
          <w:marRight w:val="0"/>
          <w:marTop w:val="200"/>
          <w:marBottom w:val="0"/>
          <w:divBdr>
            <w:top w:val="none" w:sz="0" w:space="0" w:color="auto"/>
            <w:left w:val="none" w:sz="0" w:space="0" w:color="auto"/>
            <w:bottom w:val="none" w:sz="0" w:space="0" w:color="auto"/>
            <w:right w:val="none" w:sz="0" w:space="0" w:color="auto"/>
          </w:divBdr>
        </w:div>
        <w:div w:id="335302505">
          <w:marLeft w:val="547"/>
          <w:marRight w:val="0"/>
          <w:marTop w:val="200"/>
          <w:marBottom w:val="0"/>
          <w:divBdr>
            <w:top w:val="none" w:sz="0" w:space="0" w:color="auto"/>
            <w:left w:val="none" w:sz="0" w:space="0" w:color="auto"/>
            <w:bottom w:val="none" w:sz="0" w:space="0" w:color="auto"/>
            <w:right w:val="none" w:sz="0" w:space="0" w:color="auto"/>
          </w:divBdr>
        </w:div>
        <w:div w:id="364988480">
          <w:marLeft w:val="1166"/>
          <w:marRight w:val="0"/>
          <w:marTop w:val="100"/>
          <w:marBottom w:val="0"/>
          <w:divBdr>
            <w:top w:val="none" w:sz="0" w:space="0" w:color="auto"/>
            <w:left w:val="none" w:sz="0" w:space="0" w:color="auto"/>
            <w:bottom w:val="none" w:sz="0" w:space="0" w:color="auto"/>
            <w:right w:val="none" w:sz="0" w:space="0" w:color="auto"/>
          </w:divBdr>
        </w:div>
        <w:div w:id="1685127937">
          <w:marLeft w:val="547"/>
          <w:marRight w:val="0"/>
          <w:marTop w:val="200"/>
          <w:marBottom w:val="0"/>
          <w:divBdr>
            <w:top w:val="none" w:sz="0" w:space="0" w:color="auto"/>
            <w:left w:val="none" w:sz="0" w:space="0" w:color="auto"/>
            <w:bottom w:val="none" w:sz="0" w:space="0" w:color="auto"/>
            <w:right w:val="none" w:sz="0" w:space="0" w:color="auto"/>
          </w:divBdr>
        </w:div>
        <w:div w:id="530339425">
          <w:marLeft w:val="1166"/>
          <w:marRight w:val="0"/>
          <w:marTop w:val="100"/>
          <w:marBottom w:val="0"/>
          <w:divBdr>
            <w:top w:val="none" w:sz="0" w:space="0" w:color="auto"/>
            <w:left w:val="none" w:sz="0" w:space="0" w:color="auto"/>
            <w:bottom w:val="none" w:sz="0" w:space="0" w:color="auto"/>
            <w:right w:val="none" w:sz="0" w:space="0" w:color="auto"/>
          </w:divBdr>
        </w:div>
        <w:div w:id="1043747456">
          <w:marLeft w:val="547"/>
          <w:marRight w:val="0"/>
          <w:marTop w:val="200"/>
          <w:marBottom w:val="0"/>
          <w:divBdr>
            <w:top w:val="none" w:sz="0" w:space="0" w:color="auto"/>
            <w:left w:val="none" w:sz="0" w:space="0" w:color="auto"/>
            <w:bottom w:val="none" w:sz="0" w:space="0" w:color="auto"/>
            <w:right w:val="none" w:sz="0" w:space="0" w:color="auto"/>
          </w:divBdr>
        </w:div>
        <w:div w:id="429855404">
          <w:marLeft w:val="360"/>
          <w:marRight w:val="0"/>
          <w:marTop w:val="200"/>
          <w:marBottom w:val="0"/>
          <w:divBdr>
            <w:top w:val="none" w:sz="0" w:space="0" w:color="auto"/>
            <w:left w:val="none" w:sz="0" w:space="0" w:color="auto"/>
            <w:bottom w:val="none" w:sz="0" w:space="0" w:color="auto"/>
            <w:right w:val="none" w:sz="0" w:space="0" w:color="auto"/>
          </w:divBdr>
        </w:div>
        <w:div w:id="749424552">
          <w:marLeft w:val="360"/>
          <w:marRight w:val="0"/>
          <w:marTop w:val="200"/>
          <w:marBottom w:val="0"/>
          <w:divBdr>
            <w:top w:val="none" w:sz="0" w:space="0" w:color="auto"/>
            <w:left w:val="none" w:sz="0" w:space="0" w:color="auto"/>
            <w:bottom w:val="none" w:sz="0" w:space="0" w:color="auto"/>
            <w:right w:val="none" w:sz="0" w:space="0" w:color="auto"/>
          </w:divBdr>
        </w:div>
        <w:div w:id="1749963524">
          <w:marLeft w:val="360"/>
          <w:marRight w:val="0"/>
          <w:marTop w:val="200"/>
          <w:marBottom w:val="0"/>
          <w:divBdr>
            <w:top w:val="none" w:sz="0" w:space="0" w:color="auto"/>
            <w:left w:val="none" w:sz="0" w:space="0" w:color="auto"/>
            <w:bottom w:val="none" w:sz="0" w:space="0" w:color="auto"/>
            <w:right w:val="none" w:sz="0" w:space="0" w:color="auto"/>
          </w:divBdr>
        </w:div>
        <w:div w:id="392629651">
          <w:marLeft w:val="360"/>
          <w:marRight w:val="0"/>
          <w:marTop w:val="200"/>
          <w:marBottom w:val="0"/>
          <w:divBdr>
            <w:top w:val="none" w:sz="0" w:space="0" w:color="auto"/>
            <w:left w:val="none" w:sz="0" w:space="0" w:color="auto"/>
            <w:bottom w:val="none" w:sz="0" w:space="0" w:color="auto"/>
            <w:right w:val="none" w:sz="0" w:space="0" w:color="auto"/>
          </w:divBdr>
        </w:div>
      </w:divsChild>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6102580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0365808">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682463983">
      <w:bodyDiv w:val="1"/>
      <w:marLeft w:val="0"/>
      <w:marRight w:val="0"/>
      <w:marTop w:val="0"/>
      <w:marBottom w:val="0"/>
      <w:divBdr>
        <w:top w:val="none" w:sz="0" w:space="0" w:color="auto"/>
        <w:left w:val="none" w:sz="0" w:space="0" w:color="auto"/>
        <w:bottom w:val="none" w:sz="0" w:space="0" w:color="auto"/>
        <w:right w:val="none" w:sz="0" w:space="0" w:color="auto"/>
      </w:divBdr>
    </w:div>
    <w:div w:id="1717586673">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20513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67923052">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02461246">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8672287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57173777">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341890">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 w:id="21423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3424</TotalTime>
  <Pages>5</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92</cp:revision>
  <dcterms:created xsi:type="dcterms:W3CDTF">2023-02-15T09:51:00Z</dcterms:created>
  <dcterms:modified xsi:type="dcterms:W3CDTF">2023-09-29T11:20:00Z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